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56F70"/>
          <w:sz w:val="20"/>
        </w:rPr>
        <w:t>LTC-09 Tool</w:t>
      </w:r>
    </w:p>
    <w:p>
      <w:pPr>
        <w:jc w:val="center"/>
      </w:pPr>
      <w:r>
        <w:rPr>
          <w:b/>
          <w:color w:val="0A64BC"/>
          <w:sz w:val="36"/>
        </w:rPr>
        <w:t>MRRC - MEP Reliability and Redundancy Canvas</w:t>
      </w:r>
    </w:p>
    <w:p>
      <w:pPr>
        <w:jc w:val="center"/>
      </w:pPr>
      <w:r>
        <w:rPr>
          <w:color w:val="756F70"/>
          <w:sz w:val="19"/>
        </w:rPr>
        <w:t>Use this before accepting MEP value-engineering decisions that may create operational risk.</w:t>
      </w:r>
    </w:p>
    <w:p>
      <w:pPr>
        <w:spacing w:after="80"/>
      </w:pPr>
      <w:r>
        <w:rPr>
          <w:color w:val="756F70"/>
          <w:sz w:val="17"/>
        </w:rPr>
        <w:t>Purpose: Help owners, operators, facilities, clinical leadership, design teams, and contractors test whether mechanical, electrical, plumbing, life safety, controls, and low-voltage decisions are reliable enough for long-term care operations before layout, scope, or value-engineering decisions are locked.</w:t>
      </w:r>
    </w:p>
    <w:p>
      <w:pPr>
        <w:spacing w:after="80"/>
      </w:pPr>
      <w:r>
        <w:rPr>
          <w:color w:val="756F70"/>
          <w:sz w:val="17"/>
        </w:rPr>
        <w:t>Important: This worksheet is an operational planning tool, not engineering, code, medical, or legal advice. Confirm all system requirements, code interpretations, redundancy assumptions, temporary-service plans, and commissioning requirements with licensed engineers, contractors, facilities leadership, clinical leadership, and the authorities having jurisdiction.</w:t>
      </w:r>
    </w:p>
    <w:p>
      <w:pPr>
        <w:pStyle w:val="Heading1"/>
      </w:pPr>
      <w:r>
        <w:rPr>
          <w:b/>
          <w:color w:val="0A64BC"/>
          <w:sz w:val="30"/>
        </w:rPr>
        <w:t>Project Snapshot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664"/>
        <w:gridCol w:w="2664"/>
        <w:gridCol w:w="2664"/>
        <w:gridCol w:w="2664"/>
      </w:tblGrid>
      <w:tr>
        <w:tc>
          <w:tcPr>
            <w:tcW w:type="dxa" w:w="288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Project / Facility</w:t>
            </w:r>
          </w:p>
        </w:tc>
        <w:tc>
          <w:tcPr>
            <w:tcW w:type="dxa" w:w="244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Project Type</w:t>
            </w:r>
          </w:p>
        </w:tc>
        <w:tc>
          <w:tcPr>
            <w:tcW w:type="dxa" w:w="172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244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Prepared By</w:t>
            </w:r>
          </w:p>
        </w:tc>
      </w:tr>
      <w:tr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br/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br/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br/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br/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1. Critical Systems Baseline</w:t>
      </w:r>
    </w:p>
    <w:p>
      <w:pPr>
        <w:spacing w:after="80"/>
      </w:pPr>
      <w:r>
        <w:rPr>
          <w:color w:val="756F70"/>
          <w:sz w:val="17"/>
        </w:rPr>
        <w:t>List the systems that directly affect resident/patient safety, staff continuity, care delivery, building operations, or compliance. Mark the risk if the system is unavailable or degraded.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80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System / Area</w:t>
            </w:r>
          </w:p>
        </w:tc>
        <w:tc>
          <w:tcPr>
            <w:tcW w:type="dxa" w:w="244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Operational Dependency</w:t>
            </w:r>
          </w:p>
        </w:tc>
        <w:tc>
          <w:tcPr>
            <w:tcW w:type="dxa" w:w="2304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Risk if Failed</w:t>
            </w:r>
          </w:p>
        </w:tc>
        <w:tc>
          <w:tcPr>
            <w:tcW w:type="dxa" w:w="1224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Criticality (H/M/L)</w:t>
            </w:r>
          </w:p>
        </w:tc>
        <w:tc>
          <w:tcPr>
            <w:tcW w:type="dxa" w:w="2664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Owner / Engineer / GC Notes</w:t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Electrical / emergency power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HVAC / ventilation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Domestic water / hot water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Plumbing / sanitary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Fire alarm / sprinkler interfaces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Low-voltage / nurse call / security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Controls / BAS / monitoring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b/>
          <w:color w:val="0A64BC"/>
          <w:sz w:val="30"/>
        </w:rPr>
        <w:t>2. Operations Dependency Map</w:t>
      </w:r>
    </w:p>
    <w:p>
      <w:pPr>
        <w:spacing w:after="80"/>
      </w:pPr>
      <w:r>
        <w:rPr>
          <w:color w:val="756F70"/>
          <w:sz w:val="17"/>
        </w:rPr>
        <w:t>For each operation below, identify the MEP systems it relies on and what happens during outage, maintenance, construction, or value-engineering changes.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015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Operation</w:t>
            </w:r>
          </w:p>
        </w:tc>
        <w:tc>
          <w:tcPr>
            <w:tcW w:type="dxa" w:w="244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Systems Required</w:t>
            </w:r>
          </w:p>
        </w:tc>
        <w:tc>
          <w:tcPr>
            <w:tcW w:type="dxa" w:w="1584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Downtime Tolerance</w:t>
            </w:r>
          </w:p>
        </w:tc>
        <w:tc>
          <w:tcPr>
            <w:tcW w:type="dxa" w:w="252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Temporary / Backup Plan</w:t>
            </w:r>
          </w:p>
        </w:tc>
        <w:tc>
          <w:tcPr>
            <w:tcW w:type="dxa" w:w="223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Decision Needed</w:t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Med storage / med pass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Meals / dining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Bathing / hygiene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Laundry / soiled handling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Resident room comfort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High-acuity / special care areas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5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Security / elopement controls</w:t>
            </w:r>
          </w:p>
        </w:tc>
        <w:tc>
          <w:tcPr>
            <w:tcW w:type="dxa" w:w="244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3. Reliability Risk Test</w:t>
      </w:r>
    </w:p>
    <w:p>
      <w:pPr>
        <w:spacing w:after="80"/>
      </w:pPr>
      <w:r>
        <w:rPr>
          <w:color w:val="756F70"/>
          <w:sz w:val="17"/>
        </w:rPr>
        <w:t>Use this table to find hidden single points of failure before the team accepts a design direction or value-engineering option.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324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Reliability Question</w:t>
            </w:r>
          </w:p>
        </w:tc>
        <w:tc>
          <w:tcPr>
            <w:tcW w:type="dxa" w:w="144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Pass / Concern / Fail</w:t>
            </w:r>
          </w:p>
        </w:tc>
        <w:tc>
          <w:tcPr>
            <w:tcW w:type="dxa" w:w="288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Evidence / Notes</w:t>
            </w:r>
          </w:p>
        </w:tc>
        <w:tc>
          <w:tcPr>
            <w:tcW w:type="dxa" w:w="144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Action Owner</w:t>
            </w:r>
          </w:p>
        </w:tc>
        <w:tc>
          <w:tcPr>
            <w:tcW w:type="dxa" w:w="115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Due Date</w:t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there single points of failure for critical care operations?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Can the system be maintained without major care disruption?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alarms, monitoring, and response responsibilities clear?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critical rooms protected against overheating, underheating, water loss, or exhaust failure?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equipment access, replacement path, and parts lead time understood?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outage durations and temporary services defined?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commissioning and startup expectations clear?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2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Are AHJ / survey / licensure implications assigned for confirmation?</w:t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5"/>
              </w:rPr>
              <w:t>☐ Pass</w:t>
              <w:br/>
              <w:t>☐ Concern</w:t>
              <w:br/>
              <w:t>☐ Fail</w:t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4. Value-Engineering Impact Filter</w:t>
      </w:r>
    </w:p>
    <w:p>
      <w:pPr>
        <w:spacing w:after="80"/>
      </w:pPr>
      <w:r>
        <w:rPr>
          <w:color w:val="756F70"/>
          <w:sz w:val="17"/>
        </w:rPr>
        <w:t>Use this before accepting a cost-saving change. The question is not only "What is the first-cost savings?" The question is "What operational risk are we buying?"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23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Proposed VE / Substitution</w:t>
            </w:r>
          </w:p>
        </w:tc>
        <w:tc>
          <w:tcPr>
            <w:tcW w:type="dxa" w:w="151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First-Cost Savings</w:t>
            </w:r>
          </w:p>
        </w:tc>
        <w:tc>
          <w:tcPr>
            <w:tcW w:type="dxa" w:w="223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Operations Affected</w:t>
            </w:r>
          </w:p>
        </w:tc>
        <w:tc>
          <w:tcPr>
            <w:tcW w:type="dxa" w:w="259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Risk Created</w:t>
            </w:r>
          </w:p>
        </w:tc>
        <w:tc>
          <w:tcPr>
            <w:tcW w:type="dxa" w:w="180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Accept / Mitigate / Reject</w:t>
            </w:r>
          </w:p>
        </w:tc>
      </w:tr>
      <w:tr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1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1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1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1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1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23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5. Redundancy and Backup Strategy</w:t>
      </w:r>
    </w:p>
    <w:p>
      <w:pPr>
        <w:spacing w:after="80"/>
      </w:pPr>
      <w:r>
        <w:rPr>
          <w:color w:val="756F70"/>
          <w:sz w:val="17"/>
        </w:rPr>
        <w:t>Not every system needs full redundancy. But every critical system needs an intentional strategy: full backup, partial backup, manual workaround, temporary connection, phasing plan, or no-go.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944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System / Function</w:t>
            </w:r>
          </w:p>
        </w:tc>
        <w:tc>
          <w:tcPr>
            <w:tcW w:type="dxa" w:w="208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Strategy Selected</w:t>
            </w:r>
          </w:p>
        </w:tc>
        <w:tc>
          <w:tcPr>
            <w:tcW w:type="dxa" w:w="252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Why This Is Acceptable</w:t>
            </w:r>
          </w:p>
        </w:tc>
        <w:tc>
          <w:tcPr>
            <w:tcW w:type="dxa" w:w="2664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What Must Be Confirmed</w:t>
            </w:r>
          </w:p>
        </w:tc>
        <w:tc>
          <w:tcPr>
            <w:tcW w:type="dxa" w:w="1152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194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4"/>
              </w:rPr>
              <w:t>☐ Full redundancy</w:t>
              <w:br/>
              <w:t>☐ Partial backup</w:t>
              <w:br/>
              <w:t>☐ Temp connection</w:t>
              <w:br/>
              <w:t>☐ Manual workaround</w:t>
              <w:br/>
              <w:t>☐ No-go</w:t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94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4"/>
              </w:rPr>
              <w:t>☐ Full redundancy</w:t>
              <w:br/>
              <w:t>☐ Partial backup</w:t>
              <w:br/>
              <w:t>☐ Temp connection</w:t>
              <w:br/>
              <w:t>☐ Manual workaround</w:t>
              <w:br/>
              <w:t>☐ No-go</w:t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94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4"/>
              </w:rPr>
              <w:t>☐ Full redundancy</w:t>
              <w:br/>
              <w:t>☐ Partial backup</w:t>
              <w:br/>
              <w:t>☐ Temp connection</w:t>
              <w:br/>
              <w:t>☐ Manual workaround</w:t>
              <w:br/>
              <w:t>☐ No-go</w:t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94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4"/>
              </w:rPr>
              <w:t>☐ Full redundancy</w:t>
              <w:br/>
              <w:t>☐ Partial backup</w:t>
              <w:br/>
              <w:t>☐ Temp connection</w:t>
              <w:br/>
              <w:t>☐ Manual workaround</w:t>
              <w:br/>
              <w:t>☐ No-go</w:t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94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4"/>
              </w:rPr>
              <w:t>☐ Full redundancy</w:t>
              <w:br/>
              <w:t>☐ Partial backup</w:t>
              <w:br/>
              <w:t>☐ Temp connection</w:t>
              <w:br/>
              <w:t>☐ Manual workaround</w:t>
              <w:br/>
              <w:t>☐ No-go</w:t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94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4"/>
              </w:rPr>
              <w:t>☐ Full redundancy</w:t>
              <w:br/>
              <w:t>☐ Partial backup</w:t>
              <w:br/>
              <w:t>☐ Temp connection</w:t>
              <w:br/>
              <w:t>☐ Manual workaround</w:t>
              <w:br/>
              <w:t>☐ No-go</w:t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664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6. Shutdown / Temporary Service / Commissioning Plan</w:t>
      </w:r>
    </w:p>
    <w:p>
      <w:pPr>
        <w:spacing w:after="80"/>
      </w:pPr>
      <w:r>
        <w:rPr>
          <w:color w:val="756F70"/>
          <w:sz w:val="17"/>
        </w:rPr>
        <w:t>Use for renovation, replacement, or occupied work. A system change is not ready if the outage, temporary-service path, staff communication, and recommissioning plan are vague.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08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System / Work Activity</w:t>
            </w:r>
          </w:p>
        </w:tc>
        <w:tc>
          <w:tcPr>
            <w:tcW w:type="dxa" w:w="172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Outage or Tie-In Required?</w:t>
            </w:r>
          </w:p>
        </w:tc>
        <w:tc>
          <w:tcPr>
            <w:tcW w:type="dxa" w:w="180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Temporary Service Needed?</w:t>
            </w:r>
          </w:p>
        </w:tc>
        <w:tc>
          <w:tcPr>
            <w:tcW w:type="dxa" w:w="252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Staff / Resident Communication</w:t>
            </w:r>
          </w:p>
        </w:tc>
        <w:tc>
          <w:tcPr>
            <w:tcW w:type="dxa" w:w="252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Testing / Commissioning Required</w:t>
            </w:r>
          </w:p>
        </w:tc>
      </w:tr>
      <w:tr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80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5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7. MEP Reliability GO / NO-GO Gate</w:t>
      </w:r>
    </w:p>
    <w:p>
      <w:pPr>
        <w:spacing w:after="80"/>
      </w:pPr>
      <w:r>
        <w:rPr>
          <w:color w:val="756F70"/>
          <w:sz w:val="17"/>
        </w:rPr>
        <w:t>Use this gate before accepting layout lock, system scope, equipment substitutions, or major value-engineering decisions.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5328"/>
        <w:gridCol w:w="5328"/>
      </w:tblGrid>
      <w:tr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Critical systems and operational dependencies are mapped</w:t>
            </w:r>
          </w:p>
        </w:tc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Single points of failure are identified and mitigated or accepted intentionally</w:t>
            </w:r>
          </w:p>
        </w:tc>
      </w:tr>
      <w:tr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Downtime tolerance and temporary-service plans are documented</w:t>
            </w:r>
          </w:p>
        </w:tc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Maintenance access and replacement path are confirmed</w:t>
            </w:r>
          </w:p>
        </w:tc>
      </w:tr>
      <w:tr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Alarms, controls, monitoring, and response responsibilities are clear</w:t>
            </w:r>
          </w:p>
        </w:tc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Commissioning / testing requirements are defined</w:t>
            </w:r>
          </w:p>
        </w:tc>
      </w:tr>
      <w:tr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AHJ, licensure, survey, and code confirmations are assigned</w:t>
            </w:r>
          </w:p>
        </w:tc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Value-engineering savings have been weighed against operational risk</w:t>
            </w:r>
          </w:p>
        </w:tc>
      </w:tr>
      <w:tr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Open risks have owner, due date, and decision path</w:t>
            </w:r>
          </w:p>
        </w:tc>
        <w:tc>
          <w:tcPr>
            <w:tcW w:type="dxa" w:w="5328"/>
            <w:vAlign w:val="top"/>
          </w:tcPr>
          <w:p>
            <w:pPr>
              <w:jc w:val="left"/>
            </w:pPr>
            <w:r/>
            <w:r>
              <w:rPr>
                <w:b w:val="0"/>
                <w:sz w:val="17"/>
              </w:rPr>
              <w:t>☐ Leadership accepts residual risk in writing before scope lock</w:t>
            </w:r>
          </w:p>
        </w:tc>
      </w:tr>
    </w:tbl>
    <w:p>
      <w:r>
        <w:br w:type="page"/>
      </w:r>
    </w:p>
    <w:p>
      <w:pPr>
        <w:pStyle w:val="Heading1"/>
      </w:pPr>
      <w:r>
        <w:rPr>
          <w:b/>
          <w:color w:val="0A64BC"/>
          <w:sz w:val="30"/>
        </w:rPr>
        <w:t>GO / NO-GO Decision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552"/>
        <w:gridCol w:w="3552"/>
        <w:gridCol w:w="3552"/>
      </w:tblGrid>
      <w:tr>
        <w:tc>
          <w:tcPr>
            <w:tcW w:type="dxa" w:w="1584"/>
            <w:shd w:fill="6E000A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Decision</w:t>
            </w:r>
          </w:p>
        </w:tc>
        <w:tc>
          <w:tcPr>
            <w:tcW w:type="dxa" w:w="4320"/>
            <w:shd w:fill="6E000A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Use This If</w:t>
            </w:r>
          </w:p>
        </w:tc>
        <w:tc>
          <w:tcPr>
            <w:tcW w:type="dxa" w:w="4031"/>
            <w:shd w:fill="6E000A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Required Next Step</w:t>
            </w:r>
          </w:p>
        </w:tc>
      </w:tr>
      <w:tr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/>
                <w:sz w:val="16"/>
              </w:rPr>
              <w:t>GO</w:t>
            </w:r>
          </w:p>
        </w:tc>
        <w:tc>
          <w:tcPr>
            <w:tcW w:type="dxa" w:w="43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MEP reliability risks are mapped, mitigation is clear, and open items do not change layout, systems, phasing, or operations.</w:t>
            </w:r>
          </w:p>
        </w:tc>
        <w:tc>
          <w:tcPr>
            <w:tcW w:type="dxa" w:w="4031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Proceed with documented assumptions and decision log.</w:t>
            </w:r>
          </w:p>
        </w:tc>
      </w:tr>
      <w:tr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/>
                <w:sz w:val="16"/>
              </w:rPr>
              <w:t>CONDITIONAL GO</w:t>
            </w:r>
          </w:p>
        </w:tc>
        <w:tc>
          <w:tcPr>
            <w:tcW w:type="dxa" w:w="43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Open items remain, but each has an owner, deadline, and temporary mitigation; leadership accepts the risk.</w:t>
            </w:r>
          </w:p>
        </w:tc>
        <w:tc>
          <w:tcPr>
            <w:tcW w:type="dxa" w:w="4031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Track decisions weekly until resolved.</w:t>
            </w:r>
          </w:p>
        </w:tc>
      </w:tr>
      <w:tr>
        <w:tc>
          <w:tcPr>
            <w:tcW w:type="dxa" w:w="1584"/>
            <w:shd w:fill="FFFFFF"/>
            <w:vAlign w:val="top"/>
          </w:tcPr>
          <w:p>
            <w:pPr>
              <w:jc w:val="left"/>
            </w:pPr>
            <w:r/>
            <w:r>
              <w:rPr>
                <w:b/>
                <w:sz w:val="16"/>
              </w:rPr>
              <w:t>NO-GO</w:t>
            </w:r>
          </w:p>
        </w:tc>
        <w:tc>
          <w:tcPr>
            <w:tcW w:type="dxa" w:w="432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An open MEP issue could change layout, system scope, cost, phasing, commissioning, or operational continuity.</w:t>
            </w:r>
          </w:p>
        </w:tc>
        <w:tc>
          <w:tcPr>
            <w:tcW w:type="dxa" w:w="4031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  <w:t>Resolve the issue before locking scope or accepting VE.</w:t>
            </w:r>
          </w:p>
        </w:tc>
      </w:tr>
    </w:tbl>
    <w:p>
      <w:pPr>
        <w:pStyle w:val="Heading1"/>
      </w:pPr>
      <w:r>
        <w:rPr>
          <w:b/>
          <w:color w:val="0A64BC"/>
          <w:sz w:val="30"/>
        </w:rPr>
        <w:t>Meeting Notes / Decisions / Follow-Up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664"/>
        <w:gridCol w:w="2664"/>
        <w:gridCol w:w="2664"/>
        <w:gridCol w:w="2664"/>
      </w:tblGrid>
      <w:tr>
        <w:tc>
          <w:tcPr>
            <w:tcW w:type="dxa" w:w="388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Decision / Risk</w:t>
            </w:r>
          </w:p>
        </w:tc>
        <w:tc>
          <w:tcPr>
            <w:tcW w:type="dxa" w:w="1728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44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880"/>
            <w:shd w:fill="0A64BC"/>
            <w:vAlign w:val="top"/>
          </w:tcPr>
          <w:p>
            <w:pPr>
              <w:jc w:val="left"/>
            </w:pPr>
            <w:r/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38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8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8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8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8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88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shd w:fill="FFFFFF"/>
            <w:vAlign w:val="top"/>
          </w:tcPr>
          <w:p>
            <w:pPr>
              <w:jc w:val="left"/>
            </w:pPr>
            <w:r/>
            <w:r>
              <w:rPr>
                <w:b w:val="0"/>
                <w:sz w:val="16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56F70"/>
        <w:sz w:val="14"/>
      </w:rPr>
      <w:t>Arete Architecture | LTC Tools and Trainings: https://www.arete-architecture.design/ltc-tools-trainings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88F6059FF0C468EA9CBB4B267EED8" ma:contentTypeVersion="14" ma:contentTypeDescription="Create a new document." ma:contentTypeScope="" ma:versionID="0330f27917949ef3c75dc8b546faa1a8">
  <xsd:schema xmlns:xsd="http://www.w3.org/2001/XMLSchema" xmlns:xs="http://www.w3.org/2001/XMLSchema" xmlns:p="http://schemas.microsoft.com/office/2006/metadata/properties" xmlns:ns2="8c91b646-3776-4fce-85f8-fbc4da2bb054" xmlns:ns3="23b110a3-f11a-4f4b-8850-abbb1cf9765a" targetNamespace="http://schemas.microsoft.com/office/2006/metadata/properties" ma:root="true" ma:fieldsID="de3f7c4251e30a95c01ba4024274a219" ns2:_="" ns3:_="">
    <xsd:import namespace="8c91b646-3776-4fce-85f8-fbc4da2bb054"/>
    <xsd:import namespace="23b110a3-f11a-4f4b-8850-abbb1cf9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b646-3776-4fce-85f8-fbc4da2b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08bad-dcfa-41f7-a724-1c0fce7a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110a3-f11a-4f4b-8850-abbb1cf976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4ccfbd-af29-4f15-b8ad-2d7714a901e4}" ma:internalName="TaxCatchAll" ma:showField="CatchAllData" ma:web="23b110a3-f11a-4f4b-8850-abbb1cf97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1b646-3776-4fce-85f8-fbc4da2bb054">
      <Terms xmlns="http://schemas.microsoft.com/office/infopath/2007/PartnerControls"/>
    </lcf76f155ced4ddcb4097134ff3c332f>
    <TaxCatchAll xmlns="23b110a3-f11a-4f4b-8850-abbb1cf9765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568C9D-6697-45A8-B473-6D3BD0DF18DF}"/>
</file>

<file path=customXml/itemProps3.xml><?xml version="1.0" encoding="utf-8"?>
<ds:datastoreItem xmlns:ds="http://schemas.openxmlformats.org/officeDocument/2006/customXml" ds:itemID="{D1DCFCB6-8A8B-4475-97EC-2204FD2C8DE1}"/>
</file>

<file path=customXml/itemProps4.xml><?xml version="1.0" encoding="utf-8"?>
<ds:datastoreItem xmlns:ds="http://schemas.openxmlformats.org/officeDocument/2006/customXml" ds:itemID="{21450286-AAB6-4C89-B257-3A7B798FC8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0x01010096788F6059FF0C468EA9CBB4B267EED8</vt:lpwstr>
  </property>
</Properties>
</file>