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drawing>
          <wp:inline xmlns:a="http://schemas.openxmlformats.org/drawingml/2006/main" xmlns:pic="http://schemas.openxmlformats.org/drawingml/2006/picture">
            <wp:extent cx="1234440" cy="1028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.1 2026_LOGO No bkg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028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Aptos Display" w:hAnsi="Aptos Display"/>
          <w:b/>
          <w:color w:val="141414"/>
          <w:sz w:val="40"/>
        </w:rPr>
        <w:t>MF-10 — Permit Set Readiness Gate</w:t>
      </w:r>
    </w:p>
    <w:p>
      <w:pPr>
        <w:spacing w:after="160"/>
      </w:pPr>
      <w:r>
        <w:rPr>
          <w:rFonts w:ascii="Aptos" w:hAnsi="Aptos"/>
          <w:color w:val="505050"/>
          <w:sz w:val="21"/>
        </w:rPr>
        <w:t>Drawing Quality Threshold Checklist + Review-Cycle Risk Register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7F4EF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spacing w:after="0" w:line="259" w:lineRule="auto"/>
            </w:pPr>
            <w:r>
              <w:rPr>
                <w:b/>
              </w:rPr>
              <w:t xml:space="preserve">Purpose: </w:t>
            </w:r>
            <w:r>
              <w:t>Use this gate before permit submittal to decide whether the drawing set is ready, risky, or not ready. The owner does not need to coordinate every drawing; this tool helps the owner/PM hold the design team accountable for the quality threshold that protects review time.</w:t>
            </w:r>
          </w:p>
        </w:tc>
      </w:tr>
    </w:tbl>
    <w:p>
      <w:pPr>
        <w:pStyle w:val="Heading2"/>
      </w:pPr>
      <w:r>
        <w:t>A) Submittal Decision Gate</w:t>
      </w:r>
    </w:p>
    <w:p>
      <w:pPr>
        <w:pStyle w:val="BodyText"/>
        <w:spacing w:after="100" w:line="252" w:lineRule="auto"/>
      </w:pPr>
      <w:r>
        <w:rPr>
          <w:i/>
          <w:color w:val="505050"/>
          <w:sz w:val="18"/>
        </w:rPr>
        <w:t>Select one outcome at the end of the readiness meeting. Do not treat “submitted” as progress if the set is likely to buy preventable review cycles.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cantSplit/>
          <w:tblHeader w:val="true"/>
        </w:trPr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7"/>
              </w:rPr>
              <w:t>Decision</w:t>
            </w:r>
          </w:p>
        </w:tc>
        <w:tc>
          <w:tcPr>
            <w:tcW w:type="dxa" w:w="32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7"/>
              </w:rPr>
              <w:t>Use when...</w:t>
            </w:r>
          </w:p>
        </w:tc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7"/>
              </w:rPr>
              <w:t>Required action</w:t>
            </w:r>
          </w:p>
        </w:tc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7"/>
              </w:rPr>
              <w:t>Owner / Due date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Ready to Submit</w:t>
            </w:r>
          </w:p>
        </w:tc>
        <w:tc>
          <w:tcPr>
            <w:tcW w:type="dxa" w:w="32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Core coordination gaps are resolved; known risks are documented and acceptable.</w:t>
            </w:r>
          </w:p>
        </w:tc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Submit with one coordinated package and a reviewer-friendly response strategy.</w:t>
            </w:r>
          </w:p>
        </w:tc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Submit With Known Risks</w:t>
            </w:r>
          </w:p>
        </w:tc>
        <w:tc>
          <w:tcPr>
            <w:tcW w:type="dxa" w:w="32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A deadline is real, but limited risks remain that are unlikely to reset the set.</w:t>
            </w:r>
          </w:p>
        </w:tc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Document risks, owners, and how each will be handled during review.</w:t>
            </w:r>
          </w:p>
        </w:tc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Not Ready — Resolve First</w:t>
            </w:r>
          </w:p>
        </w:tc>
        <w:tc>
          <w:tcPr>
            <w:tcW w:type="dxa" w:w="32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Unresolved gaps are likely to create preventable comments, resubmittal cycles, or redesign.</w:t>
            </w:r>
          </w:p>
        </w:tc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Pause submittal; resolve the readiness gaps before sending.</w:t>
            </w:r>
          </w:p>
        </w:tc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t>B) Drawing Quality Threshold Checklist — Part 1</w:t>
      </w:r>
    </w:p>
    <w:p>
      <w:pPr>
        <w:pStyle w:val="BodyText"/>
        <w:spacing w:after="100" w:line="252" w:lineRule="auto"/>
      </w:pPr>
      <w:r>
        <w:rPr>
          <w:i/>
          <w:color w:val="505050"/>
          <w:sz w:val="18"/>
        </w:rPr>
        <w:t>Mark each threshold as Ready / Risk / Not Ready. A “Not Ready” item should name an owner, a required fix, and a date before submittal proceeds.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rPr>
          <w:cantSplit/>
          <w:tblHeader w:val="true"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6"/>
              </w:rPr>
              <w:t>Threshold area</w:t>
            </w:r>
          </w:p>
        </w:tc>
        <w:tc>
          <w:tcPr>
            <w:tcW w:type="dxa" w:w="4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6"/>
              </w:rPr>
              <w:t>What must be true before submittal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6"/>
              </w:rPr>
              <w:t>Status</w:t>
            </w:r>
          </w:p>
        </w:tc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6"/>
              </w:rPr>
              <w:t>Owner</w:t>
            </w:r>
          </w:p>
        </w:tc>
        <w:tc>
          <w:tcPr>
            <w:tcW w:type="dxa" w:w="129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6"/>
              </w:rPr>
              <w:t>Resolve by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Sheet set completeness</w:t>
            </w:r>
          </w:p>
        </w:tc>
        <w:tc>
          <w:tcPr>
            <w:tcW w:type="dxa" w:w="4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Sheet index, legends, abbreviations, code sheets, plans, elevations, sections, details, schedules, and consultant sheets are present and coordinated.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Ready / Risk / Not Ready</w:t>
            </w:r>
          </w:p>
        </w:tc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Code + life safety story</w:t>
            </w:r>
          </w:p>
        </w:tc>
        <w:tc>
          <w:tcPr>
            <w:tcW w:type="dxa" w:w="4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Occupancy, construction type, egress, fire ratings, accessibility, sprinkler/alarm assumptions, and fire separation strategy are internally consistent.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Ready / Risk / Not Ready</w:t>
            </w:r>
          </w:p>
        </w:tc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Civil / site alignment</w:t>
            </w:r>
          </w:p>
        </w:tc>
        <w:tc>
          <w:tcPr>
            <w:tcW w:type="dxa" w:w="4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Site plan, grading, utilities, stormwater, fire access, ROW/frontage work, and architectural entries/levels align across disciplines.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Ready / Risk / Not Ready</w:t>
            </w:r>
          </w:p>
        </w:tc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Architectural coordination</w:t>
            </w:r>
          </w:p>
        </w:tc>
        <w:tc>
          <w:tcPr>
            <w:tcW w:type="dxa" w:w="4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Grids, dimensions, levels, wall types, unit plans, stairs/elevators, shafts, assemblies, and key details do not conflict across sheets.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Ready / Risk / Not Ready</w:t>
            </w:r>
          </w:p>
        </w:tc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Structural coordination</w:t>
            </w:r>
          </w:p>
        </w:tc>
        <w:tc>
          <w:tcPr>
            <w:tcW w:type="dxa" w:w="4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Structural grids, framing assumptions, foundations, transfers, podium conditions, shafts, openings, and architectural geometry are coordinated.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Ready / Risk / Not Ready</w:t>
            </w:r>
          </w:p>
        </w:tc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t>B) Drawing Quality Threshold Checklist — Part 2</w:t>
      </w:r>
    </w:p>
    <w:p>
      <w:pPr>
        <w:pStyle w:val="BodyText"/>
        <w:spacing w:after="100" w:line="252" w:lineRule="auto"/>
      </w:pPr>
      <w:r>
        <w:rPr>
          <w:i/>
          <w:color w:val="505050"/>
          <w:sz w:val="18"/>
        </w:rPr>
        <w:t>Continue the same threshold test. The point is not perfection; the point is preventing avoidable reviewer confusion and rework.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rPr>
          <w:cantSplit/>
          <w:tblHeader w:val="true"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6"/>
              </w:rPr>
              <w:t>Threshold area</w:t>
            </w:r>
          </w:p>
        </w:tc>
        <w:tc>
          <w:tcPr>
            <w:tcW w:type="dxa" w:w="4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6"/>
              </w:rPr>
              <w:t>What must be true before submittal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6"/>
              </w:rPr>
              <w:t>Status</w:t>
            </w:r>
          </w:p>
        </w:tc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6"/>
              </w:rPr>
              <w:t>Owner</w:t>
            </w:r>
          </w:p>
        </w:tc>
        <w:tc>
          <w:tcPr>
            <w:tcW w:type="dxa" w:w="129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6"/>
              </w:rPr>
              <w:t>Resolve by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MEP / FP coordination</w:t>
            </w:r>
          </w:p>
        </w:tc>
        <w:tc>
          <w:tcPr>
            <w:tcW w:type="dxa" w:w="4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Shafts, risers, equipment rooms, service routes, penetrations, utility assumptions, and fire protection/life-safety dependencies are shown enough to review.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Ready / Risk / Not Ready</w:t>
            </w:r>
          </w:p>
        </w:tc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Accessibility + fair housing</w:t>
            </w:r>
          </w:p>
        </w:tc>
        <w:tc>
          <w:tcPr>
            <w:tcW w:type="dxa" w:w="4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Accessible routes, unit requirements, parking/loading, common areas, grades, thresholds, and clearances are coordinated and checkable.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Ready / Risk / Not Ready</w:t>
            </w:r>
          </w:p>
        </w:tc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Owner decisions frozen</w:t>
            </w:r>
          </w:p>
        </w:tc>
        <w:tc>
          <w:tcPr>
            <w:tcW w:type="dxa" w:w="4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Unit mix, amenities, major materials, scope exclusions, alternates, and known budget decisions are frozen or clearly documented.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Ready / Risk / Not Ready</w:t>
            </w:r>
          </w:p>
        </w:tc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Cross-references + details</w:t>
            </w:r>
          </w:p>
        </w:tc>
        <w:tc>
          <w:tcPr>
            <w:tcW w:type="dxa" w:w="4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Keynotes, callouts, section/detail references, schedules, and specifications point to the right information and do not send reviewers searching.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Ready / Risk / Not Ready</w:t>
            </w:r>
          </w:p>
        </w:tc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Review package discipline</w:t>
            </w:r>
          </w:p>
        </w:tc>
        <w:tc>
          <w:tcPr>
            <w:tcW w:type="dxa" w:w="4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The package is internally checked; known risks are logged; submittal narrative explains the project clearly and anticipates reviewer questions.</w:t>
            </w:r>
          </w:p>
        </w:tc>
        <w:tc>
          <w:tcPr>
            <w:tcW w:type="dxa" w:w="15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Ready / Risk / Not Ready</w:t>
            </w:r>
          </w:p>
        </w:tc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t>C) Review-Cycle Risk Register</w:t>
      </w:r>
    </w:p>
    <w:p>
      <w:pPr>
        <w:pStyle w:val="BodyText"/>
        <w:spacing w:after="100" w:line="252" w:lineRule="auto"/>
      </w:pPr>
      <w:r>
        <w:rPr>
          <w:i/>
          <w:color w:val="505050"/>
          <w:sz w:val="18"/>
        </w:rPr>
        <w:t>Use this register for anything that may trigger preventable reviewer comments, resubmittal cycles, consultant rework, or schedule drift.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rPr>
          <w:cantSplit/>
          <w:tblHeader w:val="true"/>
        </w:trPr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6"/>
              </w:rPr>
              <w:t>Risk / gap</w:t>
            </w:r>
          </w:p>
        </w:tc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6"/>
              </w:rPr>
              <w:t>Likely reviewer question</w:t>
            </w:r>
          </w:p>
        </w:tc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6"/>
              </w:rPr>
              <w:t>Consequence</w:t>
            </w:r>
          </w:p>
        </w:tc>
        <w:tc>
          <w:tcPr>
            <w:tcW w:type="dxa" w:w="115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6"/>
              </w:rPr>
              <w:t>Owner</w:t>
            </w:r>
          </w:p>
        </w:tc>
        <w:tc>
          <w:tcPr>
            <w:tcW w:type="dxa" w:w="25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6"/>
              </w:rPr>
              <w:t>Fix / mitigation</w:t>
            </w:r>
          </w:p>
        </w:tc>
        <w:tc>
          <w:tcPr>
            <w:tcW w:type="dxa" w:w="10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6"/>
              </w:rPr>
              <w:t>Due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Civil/architectural elevations do not align</w:t>
            </w:r>
          </w:p>
        </w:tc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Extra review comments; revised site/building coordination</w:t>
            </w:r>
          </w:p>
        </w:tc>
        <w:tc>
          <w:tcPr>
            <w:tcW w:type="dxa" w:w="115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25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Fire access or hydrant assumption unclear</w:t>
            </w:r>
          </w:p>
        </w:tc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Life-safety comments; possible site redesign</w:t>
            </w:r>
          </w:p>
        </w:tc>
        <w:tc>
          <w:tcPr>
            <w:tcW w:type="dxa" w:w="115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25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Wall ratings / shaft ratings inconsistent</w:t>
            </w:r>
          </w:p>
        </w:tc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Correction cycle; consultant rework</w:t>
            </w:r>
          </w:p>
        </w:tc>
        <w:tc>
          <w:tcPr>
            <w:tcW w:type="dxa" w:w="115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25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Accessibility route or unit requirements unclear</w:t>
            </w:r>
          </w:p>
        </w:tc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Reviewer friction; rework in plans/schedules</w:t>
            </w:r>
          </w:p>
        </w:tc>
        <w:tc>
          <w:tcPr>
            <w:tcW w:type="dxa" w:w="115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25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MEP equipment locations not coordinated</w:t>
            </w:r>
          </w:p>
        </w:tc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Plan review comments; area or layout revisions</w:t>
            </w:r>
          </w:p>
        </w:tc>
        <w:tc>
          <w:tcPr>
            <w:tcW w:type="dxa" w:w="115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25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Owner scope change still unresolved</w:t>
            </w:r>
          </w:p>
        </w:tc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Permit set becomes moving target</w:t>
            </w:r>
          </w:p>
        </w:tc>
        <w:tc>
          <w:tcPr>
            <w:tcW w:type="dxa" w:w="115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25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Budget-driven alternate unclear</w:t>
            </w:r>
          </w:p>
        </w:tc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  <w:t>Confusing review package; re-issue risk</w:t>
            </w:r>
          </w:p>
        </w:tc>
        <w:tc>
          <w:tcPr>
            <w:tcW w:type="dxa" w:w="115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25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15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25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20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8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15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25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6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t>D) 45-Minute Permit Set Readiness Meeting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rPr>
          <w:cantSplit/>
          <w:tblHeader w:val="true"/>
        </w:trPr>
        <w:tc>
          <w:tcPr>
            <w:tcW w:type="dxa" w:w="115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7"/>
              </w:rPr>
              <w:t>Time</w:t>
            </w:r>
          </w:p>
        </w:tc>
        <w:tc>
          <w:tcPr>
            <w:tcW w:type="dxa" w:w="43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7"/>
              </w:rPr>
              <w:t>Agenda item</w:t>
            </w:r>
          </w:p>
        </w:tc>
        <w:tc>
          <w:tcPr>
            <w:tcW w:type="dxa" w:w="50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DEFF2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141414"/>
                <w:sz w:val="17"/>
              </w:rPr>
              <w:t>Output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5 min</w:t>
            </w:r>
          </w:p>
        </w:tc>
        <w:tc>
          <w:tcPr>
            <w:tcW w:type="dxa" w:w="43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Confirm deadline and submittal strategy</w:t>
            </w:r>
          </w:p>
        </w:tc>
        <w:tc>
          <w:tcPr>
            <w:tcW w:type="dxa" w:w="50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Decision deadline and submittal path are explicit.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10 min</w:t>
            </w:r>
          </w:p>
        </w:tc>
        <w:tc>
          <w:tcPr>
            <w:tcW w:type="dxa" w:w="43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Review drawing quality threshold checklist</w:t>
            </w:r>
          </w:p>
        </w:tc>
        <w:tc>
          <w:tcPr>
            <w:tcW w:type="dxa" w:w="50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Ready/Risk/Not Ready status assigned.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10 min</w:t>
            </w:r>
          </w:p>
        </w:tc>
        <w:tc>
          <w:tcPr>
            <w:tcW w:type="dxa" w:w="43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Review consultant coordination gaps</w:t>
            </w:r>
          </w:p>
        </w:tc>
        <w:tc>
          <w:tcPr>
            <w:tcW w:type="dxa" w:w="50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Civil, structural, MEP/FP, accessibility, and code issues identified.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10 min</w:t>
            </w:r>
          </w:p>
        </w:tc>
        <w:tc>
          <w:tcPr>
            <w:tcW w:type="dxa" w:w="43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Populate review-cycle risk register</w:t>
            </w:r>
          </w:p>
        </w:tc>
        <w:tc>
          <w:tcPr>
            <w:tcW w:type="dxa" w:w="50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Risks have owner, fix, and due date.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5 min</w:t>
            </w:r>
          </w:p>
        </w:tc>
        <w:tc>
          <w:tcPr>
            <w:tcW w:type="dxa" w:w="43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Make gate decision</w:t>
            </w:r>
          </w:p>
        </w:tc>
        <w:tc>
          <w:tcPr>
            <w:tcW w:type="dxa" w:w="50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Ready / Submit With Known Risks / Not Ready.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5 min</w:t>
            </w:r>
          </w:p>
        </w:tc>
        <w:tc>
          <w:tcPr>
            <w:tcW w:type="dxa" w:w="43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Publish source of truth</w:t>
            </w:r>
          </w:p>
        </w:tc>
        <w:tc>
          <w:tcPr>
            <w:tcW w:type="dxa" w:w="50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17"/>
              </w:rPr>
              <w:t>Final readiness decision and required actions distributed.</w:t>
            </w:r>
          </w:p>
        </w:tc>
      </w:tr>
    </w:tbl>
    <w:p>
      <w:pPr>
        <w:pStyle w:val="Heading2"/>
      </w:pPr>
      <w:r>
        <w:t>E) Owner Questions That Create Accountability</w:t>
      </w:r>
    </w:p>
    <w:p>
      <w:pPr>
        <w:pStyle w:val="BodyText"/>
        <w:spacing w:after="60"/>
        <w:ind w:left="216"/>
      </w:pPr>
      <w:r>
        <w:t>- What are the top three coordination risks that could create review comments?</w:t>
      </w:r>
    </w:p>
    <w:p>
      <w:pPr>
        <w:pStyle w:val="BodyText"/>
        <w:spacing w:after="60"/>
        <w:ind w:left="216"/>
      </w:pPr>
      <w:r>
        <w:t>- Which consultant sheets still require reconciliation before submittal?</w:t>
      </w:r>
    </w:p>
    <w:p>
      <w:pPr>
        <w:pStyle w:val="BodyText"/>
        <w:spacing w:after="60"/>
        <w:ind w:left="216"/>
      </w:pPr>
      <w:r>
        <w:t>- What known risks are we submitting with, and why are they acceptable?</w:t>
      </w:r>
    </w:p>
    <w:p>
      <w:pPr>
        <w:pStyle w:val="BodyText"/>
        <w:spacing w:after="60"/>
        <w:ind w:left="216"/>
      </w:pPr>
      <w:r>
        <w:t>- What reviewer questions are we anticipating and answering in the package?</w:t>
      </w:r>
    </w:p>
    <w:p>
      <w:pPr>
        <w:pStyle w:val="BodyText"/>
        <w:spacing w:after="60"/>
        <w:ind w:left="216"/>
      </w:pPr>
      <w:r>
        <w:t>- What issues, if unresolved, should stop submittal?</w:t>
      </w:r>
    </w:p>
    <w:sectPr w:rsidR="00FC693F" w:rsidRPr="0006063C" w:rsidSect="00034616">
      <w:footerReference w:type="default" r:id="rId10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7878"/>
        <w:sz w:val="16"/>
      </w:rPr>
      <w:t>Arete Architecture — Multifamily Predictability Series | MF-10 Permit Set Readiness Gate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C2A3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C2A3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C2A36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ptos" w:hAnsi="Aptos"/>
      <w:sz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88F6059FF0C468EA9CBB4B267EED8" ma:contentTypeVersion="14" ma:contentTypeDescription="Create a new document." ma:contentTypeScope="" ma:versionID="0330f27917949ef3c75dc8b546faa1a8">
  <xsd:schema xmlns:xsd="http://www.w3.org/2001/XMLSchema" xmlns:xs="http://www.w3.org/2001/XMLSchema" xmlns:p="http://schemas.microsoft.com/office/2006/metadata/properties" xmlns:ns2="8c91b646-3776-4fce-85f8-fbc4da2bb054" xmlns:ns3="23b110a3-f11a-4f4b-8850-abbb1cf9765a" targetNamespace="http://schemas.microsoft.com/office/2006/metadata/properties" ma:root="true" ma:fieldsID="de3f7c4251e30a95c01ba4024274a219" ns2:_="" ns3:_="">
    <xsd:import namespace="8c91b646-3776-4fce-85f8-fbc4da2bb054"/>
    <xsd:import namespace="23b110a3-f11a-4f4b-8850-abbb1cf97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1b646-3776-4fce-85f8-fbc4da2bb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4108bad-dcfa-41f7-a724-1c0fce7a3c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110a3-f11a-4f4b-8850-abbb1cf976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4ccfbd-af29-4f15-b8ad-2d7714a901e4}" ma:internalName="TaxCatchAll" ma:showField="CatchAllData" ma:web="23b110a3-f11a-4f4b-8850-abbb1cf976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91b646-3776-4fce-85f8-fbc4da2bb054">
      <Terms xmlns="http://schemas.microsoft.com/office/infopath/2007/PartnerControls"/>
    </lcf76f155ced4ddcb4097134ff3c332f>
    <TaxCatchAll xmlns="23b110a3-f11a-4f4b-8850-abbb1cf9765a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C4A19A-7B9D-4BAE-AB0E-8B20A42C41F8}"/>
</file>

<file path=customXml/itemProps3.xml><?xml version="1.0" encoding="utf-8"?>
<ds:datastoreItem xmlns:ds="http://schemas.openxmlformats.org/officeDocument/2006/customXml" ds:itemID="{A9DF6127-3ED6-4486-B645-C57C5996D3DE}"/>
</file>

<file path=customXml/itemProps4.xml><?xml version="1.0" encoding="utf-8"?>
<ds:datastoreItem xmlns:ds="http://schemas.openxmlformats.org/officeDocument/2006/customXml" ds:itemID="{3DD86813-ED9E-4EA3-84CC-EF44AE4E3EC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0x01010096788F6059FF0C468EA9CBB4B267EED8</vt:lpwstr>
  </property>
</Properties>
</file>