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left"/>
      </w:pPr>
      <w:r>
        <w:drawing>
          <wp:inline xmlns:a="http://schemas.openxmlformats.org/drawingml/2006/main" xmlns:pic="http://schemas.openxmlformats.org/drawingml/2006/picture">
            <wp:extent cx="1051560" cy="8763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.1 2026_LOGO No bkg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8763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left"/>
      </w:pPr>
      <w:r>
        <w:rPr>
          <w:b/>
          <w:color w:val="111111"/>
          <w:sz w:val="40"/>
        </w:rPr>
        <w:t>MF-07 — Efficiency Guardrail Worksheet + Yield Leak Register</w:t>
      </w:r>
    </w:p>
    <w:p>
      <w:pPr>
        <w:spacing w:after="160"/>
      </w:pPr>
      <w:r>
        <w:rPr>
          <w:color w:val="464646"/>
          <w:sz w:val="18"/>
        </w:rPr>
        <w:t>Purpose: Translate unit mix and net-to-gross assumptions into clear design guardrails so projects do not quietly lose yield during schematic design.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24"/>
        <w:gridCol w:w="2424"/>
        <w:gridCol w:w="2424"/>
        <w:gridCol w:w="2424"/>
        <w:gridCol w:w="2424"/>
        <w:gridCol w:w="2424"/>
      </w:tblGrid>
      <w:tr>
        <w:tc>
          <w:tcPr>
            <w:tcW w:type="dxa" w:w="242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Project</w:t>
            </w:r>
          </w:p>
        </w:tc>
        <w:tc>
          <w:tcPr>
            <w:tcW w:type="dxa" w:w="242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Date</w:t>
            </w:r>
          </w:p>
        </w:tc>
        <w:tc>
          <w:tcPr>
            <w:tcW w:type="dxa" w:w="242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Version</w:t>
            </w:r>
          </w:p>
        </w:tc>
        <w:tc>
          <w:tcPr>
            <w:tcW w:type="dxa" w:w="242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Owner / Dev Lead</w:t>
            </w:r>
          </w:p>
        </w:tc>
        <w:tc>
          <w:tcPr>
            <w:tcW w:type="dxa" w:w="242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Architect PM</w:t>
            </w:r>
          </w:p>
        </w:tc>
        <w:tc>
          <w:tcPr>
            <w:tcW w:type="dxa" w:w="242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Estimator / Cost Input</w:t>
            </w:r>
          </w:p>
        </w:tc>
      </w:tr>
      <w:tr>
        <w:tc>
          <w:tcPr>
            <w:tcW w:type="dxa" w:w="2424"/>
            <w:vAlign w:val="top"/>
            <w:shd w:fill="FFF7CC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</w:r>
          </w:p>
        </w:tc>
        <w:tc>
          <w:tcPr>
            <w:tcW w:type="dxa" w:w="2424"/>
            <w:vAlign w:val="top"/>
            <w:shd w:fill="FFF7CC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</w:r>
          </w:p>
        </w:tc>
        <w:tc>
          <w:tcPr>
            <w:tcW w:type="dxa" w:w="2424"/>
            <w:vAlign w:val="top"/>
            <w:shd w:fill="FFF7CC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</w:r>
          </w:p>
        </w:tc>
        <w:tc>
          <w:tcPr>
            <w:tcW w:type="dxa" w:w="2424"/>
            <w:vAlign w:val="top"/>
            <w:shd w:fill="FFF7CC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</w:r>
          </w:p>
        </w:tc>
        <w:tc>
          <w:tcPr>
            <w:tcW w:type="dxa" w:w="2424"/>
            <w:vAlign w:val="top"/>
            <w:shd w:fill="FFF7CC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</w:r>
          </w:p>
        </w:tc>
        <w:tc>
          <w:tcPr>
            <w:tcW w:type="dxa" w:w="2424"/>
            <w:vAlign w:val="top"/>
            <w:shd w:fill="FFF7CC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</w:r>
          </w:p>
        </w:tc>
      </w:tr>
    </w:tbl>
    <w:p/>
    <w:p>
      <w:r>
        <w:rPr>
          <w:b/>
          <w:color w:val="111111"/>
          <w:sz w:val="24"/>
        </w:rPr>
        <w:t>A) Yield Baseline: What the design must protect</w:t>
      </w:r>
    </w:p>
    <w:p>
      <w:pPr>
        <w:spacing w:after="80"/>
      </w:pPr>
      <w:r>
        <w:rPr>
          <w:color w:val="414141"/>
          <w:sz w:val="17"/>
        </w:rPr>
        <w:t>Fill this before option review. Use plain-language assumptions if exact numbers are not ready yet, but name the threshold that triggers a reset.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24"/>
        <w:gridCol w:w="2424"/>
        <w:gridCol w:w="2424"/>
        <w:gridCol w:w="2424"/>
        <w:gridCol w:w="2424"/>
        <w:gridCol w:w="2424"/>
      </w:tblGrid>
      <w:tr>
        <w:trPr>
          <w:tblHeader w:val="true"/>
        </w:trPr>
        <w:tc>
          <w:tcPr>
            <w:tcW w:type="dxa" w:w="2088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Baseline item</w:t>
            </w:r>
          </w:p>
        </w:tc>
        <w:tc>
          <w:tcPr>
            <w:tcW w:type="dxa" w:w="230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Input</w:t>
            </w:r>
          </w:p>
        </w:tc>
        <w:tc>
          <w:tcPr>
            <w:tcW w:type="dxa" w:w="2736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Baseline item</w:t>
            </w:r>
          </w:p>
        </w:tc>
        <w:tc>
          <w:tcPr>
            <w:tcW w:type="dxa" w:w="230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Input</w:t>
            </w:r>
          </w:p>
        </w:tc>
        <w:tc>
          <w:tcPr>
            <w:tcW w:type="dxa" w:w="2736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Baseline item</w:t>
            </w:r>
          </w:p>
        </w:tc>
        <w:tc>
          <w:tcPr>
            <w:tcW w:type="dxa" w:w="230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Input</w:t>
            </w:r>
          </w:p>
        </w:tc>
      </w:tr>
      <w:tr>
        <w:tc>
          <w:tcPr>
            <w:tcW w:type="dxa" w:w="208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Target unit count</w:t>
            </w:r>
          </w:p>
        </w:tc>
        <w:tc>
          <w:tcPr>
            <w:tcW w:type="dxa" w:w="23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7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Target net rentable / leasable area</w:t>
            </w:r>
          </w:p>
        </w:tc>
        <w:tc>
          <w:tcPr>
            <w:tcW w:type="dxa" w:w="23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7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Gross building area assumption</w:t>
            </w:r>
          </w:p>
        </w:tc>
        <w:tc>
          <w:tcPr>
            <w:tcW w:type="dxa" w:w="23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208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Target net-to-gross or efficiency range</w:t>
            </w:r>
          </w:p>
        </w:tc>
        <w:tc>
          <w:tcPr>
            <w:tcW w:type="dxa" w:w="23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7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Allowed drop before reset</w:t>
            </w:r>
          </w:p>
        </w:tc>
        <w:tc>
          <w:tcPr>
            <w:tcW w:type="dxa" w:w="23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7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Primary yield risk</w:t>
            </w:r>
          </w:p>
        </w:tc>
        <w:tc>
          <w:tcPr>
            <w:tcW w:type="dxa" w:w="23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208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Unit mix assumption</w:t>
            </w:r>
          </w:p>
        </w:tc>
        <w:tc>
          <w:tcPr>
            <w:tcW w:type="dxa" w:w="23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7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Rent / premium assumption</w:t>
            </w:r>
          </w:p>
        </w:tc>
        <w:tc>
          <w:tcPr>
            <w:tcW w:type="dxa" w:w="23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7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First move-in / schedule sensitivity</w:t>
            </w:r>
          </w:p>
        </w:tc>
        <w:tc>
          <w:tcPr>
            <w:tcW w:type="dxa" w:w="23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</w:tbl>
    <w:p>
      <w:pPr>
        <w:spacing w:after="40"/>
      </w:pPr>
    </w:p>
    <w:p>
      <w:r>
        <w:rPr>
          <w:b/>
          <w:color w:val="111111"/>
          <w:sz w:val="24"/>
        </w:rPr>
        <w:t>B) Unit Mix Stress Test</w:t>
      </w:r>
    </w:p>
    <w:p>
      <w:pPr>
        <w:spacing w:after="80"/>
      </w:pPr>
      <w:r>
        <w:rPr>
          <w:color w:val="414141"/>
          <w:sz w:val="17"/>
        </w:rPr>
        <w:t>Use this table to test whether a design option protects the revenue model. If a mix shift changes the underwriting story, pause and decide.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24"/>
        <w:gridCol w:w="2424"/>
        <w:gridCol w:w="2424"/>
        <w:gridCol w:w="2424"/>
        <w:gridCol w:w="2424"/>
        <w:gridCol w:w="2424"/>
      </w:tblGrid>
      <w:tr>
        <w:trPr>
          <w:tblHeader w:val="true"/>
        </w:trPr>
        <w:tc>
          <w:tcPr>
            <w:tcW w:type="dxa" w:w="1728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Unit type</w:t>
            </w:r>
          </w:p>
        </w:tc>
        <w:tc>
          <w:tcPr>
            <w:tcW w:type="dxa" w:w="1440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Target count</w:t>
            </w:r>
          </w:p>
        </w:tc>
        <w:tc>
          <w:tcPr>
            <w:tcW w:type="dxa" w:w="158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Target avg SF</w:t>
            </w:r>
          </w:p>
        </w:tc>
        <w:tc>
          <w:tcPr>
            <w:tcW w:type="dxa" w:w="374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Revenue / leasing role</w:t>
            </w:r>
          </w:p>
        </w:tc>
        <w:tc>
          <w:tcPr>
            <w:tcW w:type="dxa" w:w="3600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What can change without reset?</w:t>
            </w:r>
          </w:p>
        </w:tc>
        <w:tc>
          <w:tcPr>
            <w:tcW w:type="dxa" w:w="3168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Reset trigger</w:t>
            </w:r>
          </w:p>
        </w:tc>
      </w:tr>
      <w:tr>
        <w:tc>
          <w:tcPr>
            <w:tcW w:type="dxa" w:w="172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Studio</w:t>
            </w:r>
          </w:p>
        </w:tc>
        <w:tc>
          <w:tcPr>
            <w:tcW w:type="dxa" w:w="144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158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74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Example: absorption / affordability / yield support</w:t>
            </w:r>
          </w:p>
        </w:tc>
        <w:tc>
          <w:tcPr>
            <w:tcW w:type="dxa" w:w="360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16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172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1BR</w:t>
            </w:r>
          </w:p>
        </w:tc>
        <w:tc>
          <w:tcPr>
            <w:tcW w:type="dxa" w:w="144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158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74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Example: core rent engine</w:t>
            </w:r>
          </w:p>
        </w:tc>
        <w:tc>
          <w:tcPr>
            <w:tcW w:type="dxa" w:w="360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16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172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2BR</w:t>
            </w:r>
          </w:p>
        </w:tc>
        <w:tc>
          <w:tcPr>
            <w:tcW w:type="dxa" w:w="144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158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74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Example: premium / family / roommate demand</w:t>
            </w:r>
          </w:p>
        </w:tc>
        <w:tc>
          <w:tcPr>
            <w:tcW w:type="dxa" w:w="360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16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172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3BR</w:t>
            </w:r>
          </w:p>
        </w:tc>
        <w:tc>
          <w:tcPr>
            <w:tcW w:type="dxa" w:w="144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158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74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Example: limited / niche demand</w:t>
            </w:r>
          </w:p>
        </w:tc>
        <w:tc>
          <w:tcPr>
            <w:tcW w:type="dxa" w:w="360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16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172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Other / accessible / live-work</w:t>
            </w:r>
          </w:p>
        </w:tc>
        <w:tc>
          <w:tcPr>
            <w:tcW w:type="dxa" w:w="144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158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74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60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16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</w:tbl>
    <w:p>
      <w:pPr>
        <w:spacing w:after="40"/>
      </w:pPr>
    </w:p>
    <w:p>
      <w:r>
        <w:rPr>
          <w:b/>
          <w:color w:val="111111"/>
          <w:sz w:val="24"/>
        </w:rPr>
        <w:t>C) Net-to-Gross Drivers: Where yield quietly leaks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909"/>
        <w:gridCol w:w="2909"/>
        <w:gridCol w:w="2909"/>
        <w:gridCol w:w="2909"/>
        <w:gridCol w:w="2909"/>
      </w:tblGrid>
      <w:tr>
        <w:trPr>
          <w:tblHeader w:val="true"/>
        </w:trPr>
        <w:tc>
          <w:tcPr>
            <w:tcW w:type="dxa" w:w="2448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Driver</w:t>
            </w:r>
          </w:p>
        </w:tc>
        <w:tc>
          <w:tcPr>
            <w:tcW w:type="dxa" w:w="4320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Risk question</w:t>
            </w:r>
          </w:p>
        </w:tc>
        <w:tc>
          <w:tcPr>
            <w:tcW w:type="dxa" w:w="302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Option A note</w:t>
            </w:r>
          </w:p>
        </w:tc>
        <w:tc>
          <w:tcPr>
            <w:tcW w:type="dxa" w:w="302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Option B note</w:t>
            </w:r>
          </w:p>
        </w:tc>
        <w:tc>
          <w:tcPr>
            <w:tcW w:type="dxa" w:w="2880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Owner action / due date</w:t>
            </w:r>
          </w:p>
        </w:tc>
      </w:tr>
      <w:tr>
        <w:tc>
          <w:tcPr>
            <w:tcW w:type="dxa" w:w="244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Corridor length / layout</w:t>
            </w:r>
          </w:p>
        </w:tc>
        <w:tc>
          <w:tcPr>
            <w:tcW w:type="dxa" w:w="432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Is circulation growing without adding rentable area?</w:t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88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244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Core count / location</w:t>
            </w:r>
          </w:p>
        </w:tc>
        <w:tc>
          <w:tcPr>
            <w:tcW w:type="dxa" w:w="432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Are stairs/elevators sized and placed for efficiency and code?</w:t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88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244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Back-of-house / service</w:t>
            </w:r>
          </w:p>
        </w:tc>
        <w:tc>
          <w:tcPr>
            <w:tcW w:type="dxa" w:w="432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Are trash, loading, storage, leasing, and maintenance right-sized?</w:t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88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244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Amenity allocation</w:t>
            </w:r>
          </w:p>
        </w:tc>
        <w:tc>
          <w:tcPr>
            <w:tcW w:type="dxa" w:w="432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Does amenity area support rent, absorption, or retention?</w:t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88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244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MEP / shafts / utility rooms</w:t>
            </w:r>
          </w:p>
        </w:tc>
        <w:tc>
          <w:tcPr>
            <w:tcW w:type="dxa" w:w="432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Are systems forcing avoidable area loss or awkward unit plans?</w:t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88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244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Parking / podium transition</w:t>
            </w:r>
          </w:p>
        </w:tc>
        <w:tc>
          <w:tcPr>
            <w:tcW w:type="dxa" w:w="432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Is the parking solution driving inefficient residential geometry?</w:t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88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</w:tbl>
    <w:p>
      <w:pPr>
        <w:spacing w:after="40"/>
      </w:pPr>
    </w:p>
    <w:p>
      <w:r>
        <w:br w:type="page"/>
      </w:r>
    </w:p>
    <w:p>
      <w:pPr>
        <w:spacing w:after="40"/>
      </w:pPr>
      <w:r>
        <w:drawing>
          <wp:inline xmlns:a="http://schemas.openxmlformats.org/drawingml/2006/main" xmlns:pic="http://schemas.openxmlformats.org/drawingml/2006/picture">
            <wp:extent cx="914400" cy="76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.1 2026_LOGO No bkgd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76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00"/>
      </w:pPr>
      <w:r>
        <w:rPr>
          <w:b/>
          <w:color w:val="111111"/>
          <w:sz w:val="36"/>
        </w:rPr>
        <w:t>MF-07 — Efficiency Guardrail Worksheet + Yield Leak Register</w:t>
      </w:r>
    </w:p>
    <w:p>
      <w:r>
        <w:rPr>
          <w:b/>
          <w:color w:val="111111"/>
          <w:sz w:val="24"/>
        </w:rPr>
        <w:t>D) Yield Leak Register</w:t>
      </w:r>
    </w:p>
    <w:p>
      <w:pPr>
        <w:spacing w:after="80"/>
      </w:pPr>
      <w:r>
        <w:rPr>
          <w:color w:val="414141"/>
          <w:sz w:val="17"/>
        </w:rPr>
        <w:t>Log any efficiency risk that could reduce rentable area, unit count, or leasing performance. Do not let yield loss hide inside “coordination.”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424"/>
        <w:gridCol w:w="2424"/>
        <w:gridCol w:w="2424"/>
        <w:gridCol w:w="2424"/>
        <w:gridCol w:w="2424"/>
        <w:gridCol w:w="2424"/>
      </w:tblGrid>
      <w:tr>
        <w:trPr>
          <w:tblHeader w:val="true"/>
        </w:trPr>
        <w:tc>
          <w:tcPr>
            <w:tcW w:type="dxa" w:w="50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#</w:t>
            </w:r>
          </w:p>
        </w:tc>
        <w:tc>
          <w:tcPr>
            <w:tcW w:type="dxa" w:w="3312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Yield leak risk</w:t>
            </w:r>
          </w:p>
        </w:tc>
        <w:tc>
          <w:tcPr>
            <w:tcW w:type="dxa" w:w="302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What it could reduce</w:t>
            </w:r>
          </w:p>
        </w:tc>
        <w:tc>
          <w:tcPr>
            <w:tcW w:type="dxa" w:w="2592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When it must be known</w:t>
            </w:r>
          </w:p>
        </w:tc>
        <w:tc>
          <w:tcPr>
            <w:tcW w:type="dxa" w:w="4320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Mitigation / trade rule</w:t>
            </w:r>
          </w:p>
        </w:tc>
        <w:tc>
          <w:tcPr>
            <w:tcW w:type="dxa" w:w="2016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Owner / due</w:t>
            </w:r>
          </w:p>
        </w:tc>
      </w:tr>
      <w:tr>
        <w:tc>
          <w:tcPr>
            <w:tcW w:type="dxa" w:w="5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1</w:t>
            </w:r>
          </w:p>
        </w:tc>
        <w:tc>
          <w:tcPr>
            <w:tcW w:type="dxa" w:w="331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59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432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01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5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2</w:t>
            </w:r>
          </w:p>
        </w:tc>
        <w:tc>
          <w:tcPr>
            <w:tcW w:type="dxa" w:w="331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59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432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01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5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3</w:t>
            </w:r>
          </w:p>
        </w:tc>
        <w:tc>
          <w:tcPr>
            <w:tcW w:type="dxa" w:w="331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59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432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01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5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4</w:t>
            </w:r>
          </w:p>
        </w:tc>
        <w:tc>
          <w:tcPr>
            <w:tcW w:type="dxa" w:w="331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59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432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01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5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5</w:t>
            </w:r>
          </w:p>
        </w:tc>
        <w:tc>
          <w:tcPr>
            <w:tcW w:type="dxa" w:w="331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59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432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01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5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6</w:t>
            </w:r>
          </w:p>
        </w:tc>
        <w:tc>
          <w:tcPr>
            <w:tcW w:type="dxa" w:w="331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59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432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01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5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7</w:t>
            </w:r>
          </w:p>
        </w:tc>
        <w:tc>
          <w:tcPr>
            <w:tcW w:type="dxa" w:w="331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59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432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01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  <w:tr>
        <w:tc>
          <w:tcPr>
            <w:tcW w:type="dxa" w:w="50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  <w:t>8</w:t>
            </w:r>
          </w:p>
        </w:tc>
        <w:tc>
          <w:tcPr>
            <w:tcW w:type="dxa" w:w="331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302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592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4320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  <w:tc>
          <w:tcPr>
            <w:tcW w:type="dxa" w:w="201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5"/>
              </w:rPr>
            </w:r>
          </w:p>
        </w:tc>
      </w:tr>
    </w:tbl>
    <w:p>
      <w:pPr>
        <w:spacing w:after="40"/>
      </w:pPr>
    </w:p>
    <w:p>
      <w:r>
        <w:rPr>
          <w:b/>
          <w:color w:val="111111"/>
          <w:sz w:val="24"/>
        </w:rPr>
        <w:t>E) Efficiency Review Gate: Decision Rules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7272"/>
        <w:gridCol w:w="7272"/>
      </w:tblGrid>
      <w:tr>
        <w:trPr>
          <w:tblHeader w:val="true"/>
        </w:trPr>
        <w:tc>
          <w:tcPr>
            <w:tcW w:type="dxa" w:w="6048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Trigger</w:t>
            </w:r>
          </w:p>
        </w:tc>
        <w:tc>
          <w:tcPr>
            <w:tcW w:type="dxa" w:w="8784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Required action</w:t>
            </w:r>
          </w:p>
        </w:tc>
      </w:tr>
      <w:tr>
        <w:tc>
          <w:tcPr>
            <w:tcW w:type="dxa" w:w="604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If unit count changes beyond the agreed band</w:t>
            </w:r>
          </w:p>
        </w:tc>
        <w:tc>
          <w:tcPr>
            <w:tcW w:type="dxa" w:w="878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Pause + re-check underwriting; do not absorb as a design tweak.</w:t>
            </w:r>
          </w:p>
        </w:tc>
      </w:tr>
      <w:tr>
        <w:tc>
          <w:tcPr>
            <w:tcW w:type="dxa" w:w="604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If unit mix shifts enough to change revenue model</w:t>
            </w:r>
          </w:p>
        </w:tc>
        <w:tc>
          <w:tcPr>
            <w:tcW w:type="dxa" w:w="878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Pause + confirm with underwriting / leasing strategy.</w:t>
            </w:r>
          </w:p>
        </w:tc>
      </w:tr>
      <w:tr>
        <w:tc>
          <w:tcPr>
            <w:tcW w:type="dxa" w:w="604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If net-to-gross drops below guardrail</w:t>
            </w:r>
          </w:p>
        </w:tc>
        <w:tc>
          <w:tcPr>
            <w:tcW w:type="dxa" w:w="878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Price/schedule the fix and name an explicit trade.</w:t>
            </w:r>
          </w:p>
        </w:tc>
      </w:tr>
      <w:tr>
        <w:tc>
          <w:tcPr>
            <w:tcW w:type="dxa" w:w="604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If amenity or BOH area grows without leasing/ops justification</w:t>
            </w:r>
          </w:p>
        </w:tc>
        <w:tc>
          <w:tcPr>
            <w:tcW w:type="dxa" w:w="878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Trade scope or require a premium / operations rationale.</w:t>
            </w:r>
          </w:p>
        </w:tc>
      </w:tr>
      <w:tr>
        <w:tc>
          <w:tcPr>
            <w:tcW w:type="dxa" w:w="6048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If parking or typology creates inefficient residential geometry</w:t>
            </w:r>
          </w:p>
        </w:tc>
        <w:tc>
          <w:tcPr>
            <w:tcW w:type="dxa" w:w="8784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Return to MF-06 typology decision matrix and re-baseline.</w:t>
            </w:r>
          </w:p>
        </w:tc>
      </w:tr>
    </w:tbl>
    <w:p>
      <w:pPr>
        <w:spacing w:after="40"/>
      </w:pPr>
    </w:p>
    <w:p>
      <w:r>
        <w:rPr>
          <w:b/>
          <w:color w:val="111111"/>
          <w:sz w:val="24"/>
        </w:rPr>
        <w:t>F) 60-Minute Efficiency Review Workshop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36"/>
        <w:gridCol w:w="3636"/>
        <w:gridCol w:w="3636"/>
        <w:gridCol w:w="3636"/>
      </w:tblGrid>
      <w:tr>
        <w:trPr>
          <w:tblHeader w:val="true"/>
        </w:trPr>
        <w:tc>
          <w:tcPr>
            <w:tcW w:type="dxa" w:w="3636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Time</w:t>
            </w:r>
          </w:p>
        </w:tc>
        <w:tc>
          <w:tcPr>
            <w:tcW w:type="dxa" w:w="3636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Step</w:t>
            </w:r>
          </w:p>
        </w:tc>
        <w:tc>
          <w:tcPr>
            <w:tcW w:type="dxa" w:w="3636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Decision output</w:t>
            </w:r>
          </w:p>
        </w:tc>
        <w:tc>
          <w:tcPr>
            <w:tcW w:type="dxa" w:w="3636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Owner</w:t>
            </w:r>
          </w:p>
        </w:tc>
      </w:tr>
      <w:tr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10 min</w:t>
            </w:r>
          </w:p>
        </w:tc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Confirm baseline: unit count, mix, net-to-gross, gross area</w:t>
            </w:r>
          </w:p>
        </w:tc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Approved baseline / open questions</w:t>
            </w:r>
          </w:p>
        </w:tc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Owner + Architect</w:t>
            </w:r>
          </w:p>
        </w:tc>
      </w:tr>
      <w:tr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15 min</w:t>
            </w:r>
          </w:p>
        </w:tc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Review option impacts: where area is gained/lost</w:t>
            </w:r>
          </w:p>
        </w:tc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Option comparison notes</w:t>
            </w:r>
          </w:p>
        </w:tc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Architect</w:t>
            </w:r>
          </w:p>
        </w:tc>
      </w:tr>
      <w:tr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15 min</w:t>
            </w:r>
          </w:p>
        </w:tc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Stress-test unit mix and revenue role</w:t>
            </w:r>
          </w:p>
        </w:tc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Mix risks + reset triggers</w:t>
            </w:r>
          </w:p>
        </w:tc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Owner / Leasing</w:t>
            </w:r>
          </w:p>
        </w:tc>
      </w:tr>
      <w:tr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10 min</w:t>
            </w:r>
          </w:p>
        </w:tc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Review yield leak register</w:t>
            </w:r>
          </w:p>
        </w:tc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Mitigation actions + due dates</w:t>
            </w:r>
          </w:p>
        </w:tc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Team</w:t>
            </w:r>
          </w:p>
        </w:tc>
      </w:tr>
      <w:tr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10 min</w:t>
            </w:r>
          </w:p>
        </w:tc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Set trade rules and publish guardrails</w:t>
            </w:r>
          </w:p>
        </w:tc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Updated source of truth</w:t>
            </w:r>
          </w:p>
        </w:tc>
        <w:tc>
          <w:tcPr>
            <w:tcW w:type="dxa" w:w="3636"/>
            <w:vAlign w:val="top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  <w:shd w:fill="FFF7CC"/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  <w:t>Owner + PM</w:t>
            </w:r>
          </w:p>
        </w:tc>
      </w:tr>
    </w:tbl>
    <w:p/>
    <w:p>
      <w:r>
        <w:rPr>
          <w:b/>
          <w:color w:val="111111"/>
          <w:sz w:val="24"/>
        </w:rPr>
        <w:t>G) Sign-off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36"/>
        <w:gridCol w:w="3636"/>
        <w:gridCol w:w="3636"/>
        <w:gridCol w:w="3636"/>
      </w:tblGrid>
      <w:tr>
        <w:tc>
          <w:tcPr>
            <w:tcW w:type="dxa" w:w="3636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Owner / Developer</w:t>
            </w:r>
          </w:p>
        </w:tc>
        <w:tc>
          <w:tcPr>
            <w:tcW w:type="dxa" w:w="3636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Architect PM</w:t>
            </w:r>
          </w:p>
        </w:tc>
        <w:tc>
          <w:tcPr>
            <w:tcW w:type="dxa" w:w="3636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Cost / Estimator</w:t>
            </w:r>
          </w:p>
        </w:tc>
        <w:tc>
          <w:tcPr>
            <w:tcW w:type="dxa" w:w="3636"/>
            <w:vAlign w:val="top"/>
            <w:shd w:fill="EDEFF2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/>
                <w:color w:val="111111"/>
                <w:sz w:val="16"/>
              </w:rPr>
              <w:t>Date</w:t>
            </w:r>
          </w:p>
        </w:tc>
      </w:tr>
      <w:tr>
        <w:tc>
          <w:tcPr>
            <w:tcW w:type="dxa" w:w="3636"/>
            <w:vAlign w:val="top"/>
            <w:shd w:fill="FFF7CC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</w:r>
          </w:p>
        </w:tc>
        <w:tc>
          <w:tcPr>
            <w:tcW w:type="dxa" w:w="3636"/>
            <w:vAlign w:val="top"/>
            <w:shd w:fill="FFF7CC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</w:r>
          </w:p>
        </w:tc>
        <w:tc>
          <w:tcPr>
            <w:tcW w:type="dxa" w:w="3636"/>
            <w:vAlign w:val="top"/>
            <w:shd w:fill="FFF7CC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</w:r>
          </w:p>
        </w:tc>
        <w:tc>
          <w:tcPr>
            <w:tcW w:type="dxa" w:w="3636"/>
            <w:vAlign w:val="top"/>
            <w:shd w:fill="FFF7CC"/>
            <w:tcBorders>
              <w:top w:sz="4" w:val="single" w:color="B0B0B0" w:space="0"/>
              <w:left w:sz="4" w:val="single" w:color="B0B0B0" w:space="0"/>
              <w:bottom w:sz="4" w:val="single" w:color="B0B0B0" w:space="0"/>
              <w:right w:sz="4" w:val="single" w:color="B0B0B0" w:space="0"/>
            </w:tcBorders>
          </w:tcPr>
          <w:p>
            <w:pPr>
              <w:jc w:val="left"/>
            </w:pPr>
            <w:r/>
            <w:r>
              <w:rPr>
                <w:b w:val="0"/>
                <w:color w:val="111111"/>
                <w:sz w:val="16"/>
              </w:rPr>
            </w:r>
          </w:p>
        </w:tc>
      </w:tr>
    </w:tbl>
    <w:p>
      <w:pPr>
        <w:spacing w:before="160"/>
      </w:pPr>
      <w:r>
        <w:rPr>
          <w:color w:val="555555"/>
          <w:sz w:val="16"/>
        </w:rPr>
        <w:t>Default tool link for MF series: https://www.arete-architecture.design/mf-tools-trainings</w:t>
      </w:r>
    </w:p>
    <w:sectPr w:rsidR="00FC693F" w:rsidRPr="0006063C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 w:eastAsia="Aptos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6" Type="http://schemas.openxmlformats.org/officeDocument/2006/relationships/webSettings" Target="webSettings.xml"/><Relationship Id="rId1" Type="http://schemas.openxmlformats.org/officeDocument/2006/relationships/customXml" Target="../customXml/item1.xml"/><Relationship Id="rId11" Type="http://schemas.openxmlformats.org/officeDocument/2006/relationships/customXml" Target="../customXml/item3.xml"/><Relationship Id="rId5" Type="http://schemas.openxmlformats.org/officeDocument/2006/relationships/settings" Target="settings.xml"/><Relationship Id="rId10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788F6059FF0C468EA9CBB4B267EED8" ma:contentTypeVersion="14" ma:contentTypeDescription="Create a new document." ma:contentTypeScope="" ma:versionID="0330f27917949ef3c75dc8b546faa1a8">
  <xsd:schema xmlns:xsd="http://www.w3.org/2001/XMLSchema" xmlns:xs="http://www.w3.org/2001/XMLSchema" xmlns:p="http://schemas.microsoft.com/office/2006/metadata/properties" xmlns:ns2="8c91b646-3776-4fce-85f8-fbc4da2bb054" xmlns:ns3="23b110a3-f11a-4f4b-8850-abbb1cf9765a" targetNamespace="http://schemas.microsoft.com/office/2006/metadata/properties" ma:root="true" ma:fieldsID="de3f7c4251e30a95c01ba4024274a219" ns2:_="" ns3:_="">
    <xsd:import namespace="8c91b646-3776-4fce-85f8-fbc4da2bb054"/>
    <xsd:import namespace="23b110a3-f11a-4f4b-8850-abbb1cf976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91b646-3776-4fce-85f8-fbc4da2bb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4108bad-dcfa-41f7-a724-1c0fce7a3c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b110a3-f11a-4f4b-8850-abbb1cf976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4ccfbd-af29-4f15-b8ad-2d7714a901e4}" ma:internalName="TaxCatchAll" ma:showField="CatchAllData" ma:web="23b110a3-f11a-4f4b-8850-abbb1cf976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91b646-3776-4fce-85f8-fbc4da2bb054">
      <Terms xmlns="http://schemas.microsoft.com/office/infopath/2007/PartnerControls"/>
    </lcf76f155ced4ddcb4097134ff3c332f>
    <TaxCatchAll xmlns="23b110a3-f11a-4f4b-8850-abbb1cf9765a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8F9188-9103-4FD4-A5DD-D2881665A115}"/>
</file>

<file path=customXml/itemProps3.xml><?xml version="1.0" encoding="utf-8"?>
<ds:datastoreItem xmlns:ds="http://schemas.openxmlformats.org/officeDocument/2006/customXml" ds:itemID="{BE3FA17C-AC93-4609-AE5F-D6EC41303701}"/>
</file>

<file path=customXml/itemProps4.xml><?xml version="1.0" encoding="utf-8"?>
<ds:datastoreItem xmlns:ds="http://schemas.openxmlformats.org/officeDocument/2006/customXml" ds:itemID="{92CCD3A4-3528-4177-8437-A9C4514B57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MF-07 Efficiency Guardrail Worksheet + Yield Leak Register</dc:title>
  <dc:subject>Multifamily video tool</dc:subject>
  <dc:creator>Arete Architecture</dc:creator>
  <cp:keywords/>
  <dc:description>Created for Arete Architecture Multifamily Predictability Series.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0x01010096788F6059FF0C468EA9CBB4B267EED8</vt:lpwstr>
  </property>
</Properties>
</file>