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color w:val="6E000A"/>
          <w:sz w:val="42"/>
          <w:szCs w:val="42"/>
        </w:rPr>
        <w:t xml:space="preserve">30-Day Friction Pilot Plan</w:t>
      </w:r>
    </w:p>
    <w:p>
      <w:pPr>
        <w:spacing w:after="120" w:before="0"/>
      </w:pPr>
      <w:r>
        <w:rPr>
          <w:rFonts w:ascii="Calibri" w:cs="Calibri" w:eastAsia="Calibri" w:hAnsi="Calibri"/>
          <w:i/>
          <w:iCs/>
          <w:color w:val="756F70"/>
          <w:sz w:val="20"/>
          <w:szCs w:val="20"/>
        </w:rPr>
        <w:t xml:space="preserve">SESSION 1  ·  Run your Top 3 fixes through Baseline → Quick Win → Standardize → Re-measure</w:t>
      </w:r>
    </w:p>
    <w:p>
      <w:pPr>
        <w:pBdr>
          <w:bottom w:val="single" w:color="6E000A" w:sz="6" w:space="1"/>
        </w:pBdr>
        <w:spacing w:after="120" w:before="120"/>
      </w:pPr>
      <w:r>
        <w:t xml:space="preserve"/>
      </w:r>
    </w:p>
    <w:p>
      <w:pPr>
        <w:spacing w:after="12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6E000A"/>
          <w:sz w:val="22"/>
          <w:szCs w:val="22"/>
        </w:rPr>
        <w:t xml:space="preserve">Where this fits in your workflow.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756F70"/>
          <w:sz w:val="22"/>
          <w:szCs w:val="22"/>
        </w:rPr>
        <w:t xml:space="preserve">You’ve walked the building with the 30-Minute Audit Scorecard. You’ve triaged your findings with the Friction-to-FTE Calculator. The two or three highest-dollar findings are now in front of you. This plan is how you run them. Each fix gets its own page so the work can be distributed — DON owns Fix #1, Maintenance owns Fix #2, and so on.</w:t>
      </w:r>
    </w:p>
    <w:p>
      <w:pPr>
        <w:spacing w:after="20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6E000A"/>
          <w:sz w:val="22"/>
          <w:szCs w:val="22"/>
        </w:rPr>
        <w:t xml:space="preserve">Why a pilot, not a checklist.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756F70"/>
          <w:sz w:val="22"/>
          <w:szCs w:val="22"/>
        </w:rPr>
        <w:t xml:space="preserve">A checklist creates activity. A pilot creates a case study. The difference matters because the next conversation — with ownership, with a board, with a lender — is built on what you can prove changed. Without a baseline, you cannot claim a win. Without a re-measure, you cannot ask for the next thing. This plan exists so your Day 30 conversation sounds like “here’s what we measured, here’s what changed, here’s what’s next” — not “we tried some things and it felt better.”</w:t>
      </w:r>
    </w:p>
    <w:p>
      <w:pPr>
        <w:spacing w:after="100" w:before="160"/>
      </w:pPr>
      <w:r>
        <w:rPr>
          <w:rFonts w:ascii="Calibri" w:cs="Calibri" w:eastAsia="Calibri" w:hAnsi="Calibri"/>
          <w:b/>
          <w:bCs/>
          <w:color w:val="6E000A"/>
          <w:sz w:val="22"/>
          <w:szCs w:val="22"/>
        </w:rPr>
        <w:t xml:space="preserve">THE 4-STAGE CYCLE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1. BASELINE</w:t>
            </w:r>
          </w:p>
        </w:tc>
        <w:tc>
          <w:tcPr>
            <w:tcW w:type="dxa" w:w="234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2. QUICK WIN</w:t>
            </w:r>
          </w:p>
        </w:tc>
        <w:tc>
          <w:tcPr>
            <w:tcW w:type="dxa" w:w="234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3. STANDARDIZE</w:t>
            </w:r>
          </w:p>
        </w:tc>
        <w:tc>
          <w:tcPr>
            <w:tcW w:type="dxa" w:w="234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4. RE-MEASURE</w:t>
            </w:r>
          </w:p>
        </w:tc>
      </w:tr>
      <w:tr>
        <w:tc>
          <w:tcPr>
            <w:tcW w:type="dxa" w:w="234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Days 1–3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Capture the number you have today — minutes lost, incidents, observations. No baseline, no case study.</w:t>
            </w:r>
          </w:p>
        </w:tc>
        <w:tc>
          <w:tcPr>
            <w:tcW w:type="dxa" w:w="234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Days 4–14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Implement the no-capex or low-capex countermeasure. One fix at a time. Visible. Owned.</w:t>
            </w:r>
          </w:p>
        </w:tc>
        <w:tc>
          <w:tcPr>
            <w:tcW w:type="dxa" w:w="234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Days 15–25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Make it stick. SOP, training, visual cue, accountability. Without this stage, the fix decays in 60 days.</w:t>
            </w:r>
          </w:p>
        </w:tc>
        <w:tc>
          <w:tcPr>
            <w:tcW w:type="dxa" w:w="234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Days 26–30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Same measure as baseline. The delta is the headline. Real win, partial, or no — you call it honestly.</w:t>
            </w:r>
          </w:p>
        </w:tc>
      </w:tr>
    </w:tbl>
    <w:p>
      <w:pPr>
        <w:spacing w:after="100" w:before="240"/>
      </w:pPr>
      <w:r>
        <w:rPr>
          <w:rFonts w:ascii="Calibri" w:cs="Calibri" w:eastAsia="Calibri" w:hAnsi="Calibri"/>
          <w:b/>
          <w:bCs/>
          <w:color w:val="6E000A"/>
          <w:sz w:val="22"/>
          <w:szCs w:val="22"/>
        </w:rPr>
        <w:t xml:space="preserve">THREE MEETINGS THAT KEEP THE PILOT ALIVE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1400"/>
        <w:gridCol w:w="2400"/>
        <w:gridCol w:w="5560"/>
      </w:tblGrid>
      <w:tr>
        <w:trPr>
          <w:tblHeader/>
        </w:trPr>
        <w:tc>
          <w:tcPr>
            <w:tcW w:type="dxa" w:w="140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WHEN</w:t>
            </w:r>
          </w:p>
        </w:tc>
        <w:tc>
          <w:tcPr>
            <w:tcW w:type="dxa" w:w="240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MEETING</w:t>
            </w:r>
          </w:p>
        </w:tc>
        <w:tc>
          <w:tcPr>
            <w:tcW w:type="dxa" w:w="556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AGENDA  (15 minutes max)</w:t>
            </w:r>
          </w:p>
        </w:tc>
      </w:tr>
      <w:tr>
        <w:tc>
          <w:tcPr>
            <w:tcW w:type="dxa" w:w="1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Day 1</w:t>
            </w:r>
          </w:p>
        </w:tc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20"/>
                <w:szCs w:val="20"/>
              </w:rPr>
              <w:t xml:space="preserve">Pilot Kickoff</w:t>
            </w:r>
          </w:p>
        </w:tc>
        <w:tc>
          <w:tcPr>
            <w:tcW w:type="dxa" w:w="55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20"/>
                <w:szCs w:val="20"/>
              </w:rPr>
              <w:t xml:space="preserve">Walk the audit Top 3. Confirm owners. Lock baseline measure for each. Lock dates for the next two meetings.</w:t>
            </w:r>
          </w:p>
        </w:tc>
      </w:tr>
      <w:tr>
        <w:tc>
          <w:tcPr>
            <w:tcW w:type="dxa" w:w="1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Day 14</w:t>
            </w:r>
          </w:p>
        </w:tc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20"/>
                <w:szCs w:val="20"/>
              </w:rPr>
              <w:t xml:space="preserve">Mid-Pilot Check-In</w:t>
            </w:r>
          </w:p>
        </w:tc>
        <w:tc>
          <w:tcPr>
            <w:tcW w:type="dxa" w:w="55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20"/>
                <w:szCs w:val="20"/>
              </w:rPr>
              <w:t xml:space="preserve">“What got implemented? What’s blocked?” Resolve barriers fast. Don’t wait until Day 30 to discover a fix never started.</w:t>
            </w:r>
          </w:p>
        </w:tc>
      </w:tr>
      <w:tr>
        <w:tc>
          <w:tcPr>
            <w:tcW w:type="dxa" w:w="1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Day 30</w:t>
            </w:r>
          </w:p>
        </w:tc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20"/>
                <w:szCs w:val="20"/>
              </w:rPr>
              <w:t xml:space="preserve">Review + Decide</w:t>
            </w:r>
          </w:p>
        </w:tc>
        <w:tc>
          <w:tcPr>
            <w:tcW w:type="dxa" w:w="55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20"/>
                <w:szCs w:val="20"/>
              </w:rPr>
              <w:t xml:space="preserve">Re-measure delta for each fix. Decide: hold the gain, re-audit the station, escalate to LOW-CAPEX, or move to next priority.</w:t>
            </w:r>
          </w:p>
        </w:tc>
      </w:tr>
    </w:tbl>
    <w:p>
      <w:pPr>
        <w:spacing w:after="100" w:before="100"/>
      </w:pPr>
      <w:r>
        <w:rPr>
          <w:rFonts w:ascii="Calibri" w:cs="Calibri" w:eastAsia="Calibri" w:hAnsi="Calibri"/>
          <w:b/>
          <w:bCs/>
          <w:i/>
          <w:iCs/>
          <w:color w:val="0A0A0A"/>
          <w:sz w:val="18"/>
          <w:szCs w:val="18"/>
        </w:rPr>
        <w:t xml:space="preserve">Put all three on the calendar before you leave the kickoff. </w:t>
      </w:r>
      <w:r>
        <w:rPr>
          <w:rFonts w:ascii="Calibri" w:cs="Calibri" w:eastAsia="Calibri" w:hAnsi="Calibri"/>
          <w:b w:val="false"/>
          <w:bCs w:val="false"/>
          <w:i/>
          <w:iCs/>
          <w:color w:val="756F70"/>
          <w:sz w:val="18"/>
          <w:szCs w:val="18"/>
        </w:rPr>
        <w:t xml:space="preserve">Pilots that don’t have a Day 30 booked never reach Day 30.</w:t>
      </w:r>
    </w:p>
    <w:p>
      <w:pPr>
        <w:pageBreakBefore/>
        <w:spacing w:after="0" w:before="0"/>
      </w:pPr>
      <w:r>
        <w:t xml:space="preserve"/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shd w:fill="6E000A" w:color="auto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FIX #1 OF 3</w:t>
            </w:r>
            <w:r>
              <w:rPr>
                <w:rFonts w:ascii="Calibri" w:cs="Calibri" w:eastAsia="Calibri" w:hAnsi="Calibri"/>
                <w:i/>
                <w:iCs/>
                <w:color w:val="FFFFFF"/>
                <w:sz w:val="18"/>
                <w:szCs w:val="18"/>
              </w:rPr>
              <w:t xml:space="preserve">        ·  one full life cycle: Baseline → Quick Win → Standardize → Re-measure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2"/>
          <w:szCs w:val="22"/>
        </w:rPr>
        <w:t xml:space="preserve">THE FIX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What we’re fixing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Friction type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TIME       ☐ COGNITIVE       ☐ SAFETY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Fix tier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NO-CAPEX       ☐ LOW-CAPEX       ☐ CAPEX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Owner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Deadline: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1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BASELINE  ·  Days 1–3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What we’re measuring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How we’ll measure it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Timed observation     ☐ Incident log     ☐ Time study     ☐ QAPI report     ☐ Other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Baseline number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Captured by: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2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QUICK WIN  ·  Days 4–14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Countermeasure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Implementation steps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1.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19"/>
                <w:szCs w:val="19"/>
              </w:rPr>
              <w:t xml:space="preserve">by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2.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19"/>
                <w:szCs w:val="19"/>
              </w:rPr>
              <w:t xml:space="preserve">by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3.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19"/>
                <w:szCs w:val="19"/>
              </w:rPr>
              <w:t xml:space="preserve">by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Resources / cost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Status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Started     ☐ Completed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 completed: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3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STANDARDIZE  ·  Days 15–25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SOP / policy update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N/A     ☐ Drafted     ☐ Approved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Document: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Training delivered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N/A     ☐ Yes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Audience: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Visual cue installed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N/A     ☐ Yes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What: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Sustain owner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Review cadence: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Weekly  ☐ Monthly  ☐ Quarterly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4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RE-MEASURE  ·  Days 26–30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New number  (same measure as baseline)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Captured by: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Delta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Baseline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minus current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=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Was the win real?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Yes — hold the gain     ☐ Partial — iterate     ☐ No — escalate or re-design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What’s next?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Hold the gain      ☐ Re-audit this station      ☐ Escalate to LOW-CAPEX/CAPEX      ☐ Move to next priority</w:t>
            </w:r>
          </w:p>
        </w:tc>
      </w:tr>
    </w:tbl>
    <w:p>
      <w:pPr>
        <w:pageBreakBefore/>
        <w:spacing w:after="0" w:before="0"/>
      </w:pPr>
      <w:r>
        <w:t xml:space="preserve"/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shd w:fill="6E000A" w:color="auto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FIX #2 OF 3</w:t>
            </w:r>
            <w:r>
              <w:rPr>
                <w:rFonts w:ascii="Calibri" w:cs="Calibri" w:eastAsia="Calibri" w:hAnsi="Calibri"/>
                <w:i/>
                <w:iCs/>
                <w:color w:val="FFFFFF"/>
                <w:sz w:val="18"/>
                <w:szCs w:val="18"/>
              </w:rPr>
              <w:t xml:space="preserve">        ·  one full life cycle: Baseline → Quick Win → Standardize → Re-measure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2"/>
          <w:szCs w:val="22"/>
        </w:rPr>
        <w:t xml:space="preserve">THE FIX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What we’re fixing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Friction type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TIME       ☐ COGNITIVE       ☐ SAFETY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Fix tier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NO-CAPEX       ☐ LOW-CAPEX       ☐ CAPEX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Owner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Deadline: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1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BASELINE  ·  Days 1–3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What we’re measuring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How we’ll measure it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Timed observation     ☐ Incident log     ☐ Time study     ☐ QAPI report     ☐ Other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Baseline number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Captured by: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2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QUICK WIN  ·  Days 4–14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Countermeasure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Implementation steps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1.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19"/>
                <w:szCs w:val="19"/>
              </w:rPr>
              <w:t xml:space="preserve">by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2.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19"/>
                <w:szCs w:val="19"/>
              </w:rPr>
              <w:t xml:space="preserve">by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3.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19"/>
                <w:szCs w:val="19"/>
              </w:rPr>
              <w:t xml:space="preserve">by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Resources / cost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Status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Started     ☐ Completed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 completed: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3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STANDARDIZE  ·  Days 15–25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SOP / policy update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N/A     ☐ Drafted     ☐ Approved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Document: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Training delivered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N/A     ☐ Yes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Audience: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Visual cue installed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N/A     ☐ Yes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What: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Sustain owner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Review cadence: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Weekly  ☐ Monthly  ☐ Quarterly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4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RE-MEASURE  ·  Days 26–30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New number  (same measure as baseline)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Captured by: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Delta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Baseline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minus current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=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Was the win real?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Yes — hold the gain     ☐ Partial — iterate     ☐ No — escalate or re-design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What’s next?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Hold the gain      ☐ Re-audit this station      ☐ Escalate to LOW-CAPEX/CAPEX      ☐ Move to next priority</w:t>
            </w:r>
          </w:p>
        </w:tc>
      </w:tr>
    </w:tbl>
    <w:p>
      <w:pPr>
        <w:pageBreakBefore/>
        <w:spacing w:after="0" w:before="0"/>
      </w:pPr>
      <w:r>
        <w:t xml:space="preserve"/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shd w:fill="6E000A" w:color="auto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FIX #3 OF 3</w:t>
            </w:r>
            <w:r>
              <w:rPr>
                <w:rFonts w:ascii="Calibri" w:cs="Calibri" w:eastAsia="Calibri" w:hAnsi="Calibri"/>
                <w:i/>
                <w:iCs/>
                <w:color w:val="FFFFFF"/>
                <w:sz w:val="18"/>
                <w:szCs w:val="18"/>
              </w:rPr>
              <w:t xml:space="preserve">        ·  one full life cycle: Baseline → Quick Win → Standardize → Re-measure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2"/>
          <w:szCs w:val="22"/>
        </w:rPr>
        <w:t xml:space="preserve">THE FIX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What we’re fixing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Friction type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TIME       ☐ COGNITIVE       ☐ SAFETY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Fix tier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NO-CAPEX       ☐ LOW-CAPEX       ☐ CAPEX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20"/>
                <w:szCs w:val="20"/>
              </w:rPr>
              <w:t xml:space="preserve">Owner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Deadline: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1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BASELINE  ·  Days 1–3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What we’re measuring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How we’ll measure it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Timed observation     ☐ Incident log     ☐ Time study     ☐ QAPI report     ☐ Other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Baseline number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Captured by: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2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QUICK WIN  ·  Days 4–14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Countermeasure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Implementation steps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1.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19"/>
                <w:szCs w:val="19"/>
              </w:rPr>
              <w:t xml:space="preserve">by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2.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19"/>
                <w:szCs w:val="19"/>
              </w:rPr>
              <w:t xml:space="preserve">by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3.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A0A0A"/>
                <w:sz w:val="19"/>
                <w:szCs w:val="19"/>
              </w:rPr>
              <w:t xml:space="preserve">by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Resources / cost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Status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Started     ☐ Completed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 completed: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3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STANDARDIZE  ·  Days 15–25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SOP / policy update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N/A     ☐ Drafted     ☐ Approved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Document: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Training delivered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N/A     ☐ Yes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Audience: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Visual cue installed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N/A     ☐ Yes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What: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Sustain owner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Review cadence: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Weekly  ☐ Monthly  ☐ Quarterly</w:t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6E000A"/>
          <w:sz w:val="20"/>
          <w:szCs w:val="20"/>
        </w:rPr>
        <w:t xml:space="preserve">STAGE 4   </w:t>
      </w:r>
      <w:r>
        <w:rPr>
          <w:rFonts w:ascii="Calibri" w:cs="Calibri" w:eastAsia="Calibri" w:hAnsi="Calibri"/>
          <w:b/>
          <w:bCs/>
          <w:color w:val="0A0A0A"/>
          <w:sz w:val="20"/>
          <w:szCs w:val="20"/>
        </w:rPr>
        <w:t xml:space="preserve">RE-MEASURE  ·  Days 26–30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New number  (same measure as baseline)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Captured by: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Date: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Delta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Baseline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minus current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=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Was the win real?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Yes — hold the gain     ☐ Partial — iterate     ☐ No — escalate or re-design</w:t>
            </w:r>
          </w:p>
        </w:tc>
      </w:tr>
      <w:tr>
        <w:tc>
          <w:tcPr>
            <w:tcW w:type="dxa" w:w="24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What’s next?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☐ Hold the gain      ☐ Re-audit this station      ☐ Escalate to LOW-CAPEX/CAPEX      ☐ Move to next priority</w:t>
            </w:r>
          </w:p>
        </w:tc>
      </w:tr>
    </w:tbl>
    <w:p>
      <w:pPr>
        <w:pageBreakBefore/>
        <w:spacing w:after="0" w:before="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6E000A"/>
          <w:sz w:val="32"/>
          <w:szCs w:val="32"/>
        </w:rPr>
        <w:t xml:space="preserve">DAY 30 REVIEW</w:t>
      </w:r>
    </w:p>
    <w:p>
      <w:pPr>
        <w:spacing w:after="120" w:before="0"/>
      </w:pPr>
      <w:r>
        <w:rPr>
          <w:rFonts w:ascii="Calibri" w:cs="Calibri" w:eastAsia="Calibri" w:hAnsi="Calibri"/>
          <w:i/>
          <w:iCs/>
          <w:color w:val="756F70"/>
          <w:sz w:val="20"/>
          <w:szCs w:val="20"/>
        </w:rPr>
        <w:t xml:space="preserve">Translate the pilot into the language ownership uses</w:t>
      </w:r>
    </w:p>
    <w:p>
      <w:pPr>
        <w:spacing w:after="20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0A0A0A"/>
          <w:sz w:val="22"/>
          <w:szCs w:val="22"/>
        </w:rPr>
        <w:t xml:space="preserve">This is the conversation that funds the next ask.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756F70"/>
          <w:sz w:val="22"/>
          <w:szCs w:val="22"/>
        </w:rPr>
        <w:t xml:space="preserve">Don’t walk into the next ownership meeting with a story. Walk in with the table below filled out. The numbers anchor the story — not the other way around.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6E000A"/>
          <w:sz w:val="22"/>
          <w:szCs w:val="22"/>
        </w:rPr>
        <w:t xml:space="preserve">BEFORE / AFTER  —  ALL 3 FIXES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600"/>
        <w:gridCol w:w="3360"/>
        <w:gridCol w:w="1800"/>
        <w:gridCol w:w="1800"/>
        <w:gridCol w:w="1800"/>
      </w:tblGrid>
      <w:tr>
        <w:trPr>
          <w:tblHeader/>
        </w:trPr>
        <w:tc>
          <w:tcPr>
            <w:tcW w:type="dxa" w:w="60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36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FIX</w:t>
            </w:r>
          </w:p>
        </w:tc>
        <w:tc>
          <w:tcPr>
            <w:tcW w:type="dxa" w:w="180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BASELINE</w:t>
            </w:r>
          </w:p>
        </w:tc>
        <w:tc>
          <w:tcPr>
            <w:tcW w:type="dxa" w:w="180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DAY 30</w:t>
            </w:r>
          </w:p>
        </w:tc>
        <w:tc>
          <w:tcPr>
            <w:tcW w:type="dxa" w:w="180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DELTA</w:t>
            </w:r>
          </w:p>
        </w:tc>
      </w:tr>
      <w:tr>
        <w:tc>
          <w:tcPr>
            <w:tcW w:type="dxa" w:w="6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E000A"/>
                <w:sz w:val="22"/>
                <w:szCs w:val="22"/>
              </w:rPr>
              <w:t xml:space="preserve">1</w:t>
            </w:r>
          </w:p>
        </w:tc>
        <w:tc>
          <w:tcPr>
            <w:tcW w:type="dxa" w:w="33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</w:t>
            </w:r>
          </w:p>
        </w:tc>
        <w:tc>
          <w:tcPr>
            <w:tcW w:type="dxa" w:w="18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</w:t>
            </w:r>
          </w:p>
        </w:tc>
        <w:tc>
          <w:tcPr>
            <w:tcW w:type="dxa" w:w="18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</w:t>
            </w:r>
          </w:p>
        </w:tc>
        <w:tc>
          <w:tcPr>
            <w:tcW w:type="dxa" w:w="18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</w:t>
            </w:r>
          </w:p>
        </w:tc>
      </w:tr>
      <w:tr>
        <w:tc>
          <w:tcPr>
            <w:tcW w:type="dxa" w:w="6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E000A"/>
                <w:sz w:val="22"/>
                <w:szCs w:val="22"/>
              </w:rPr>
              <w:t xml:space="preserve">2</w:t>
            </w:r>
          </w:p>
        </w:tc>
        <w:tc>
          <w:tcPr>
            <w:tcW w:type="dxa" w:w="33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</w:t>
            </w:r>
          </w:p>
        </w:tc>
        <w:tc>
          <w:tcPr>
            <w:tcW w:type="dxa" w:w="18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</w:t>
            </w:r>
          </w:p>
        </w:tc>
        <w:tc>
          <w:tcPr>
            <w:tcW w:type="dxa" w:w="18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</w:t>
            </w:r>
          </w:p>
        </w:tc>
        <w:tc>
          <w:tcPr>
            <w:tcW w:type="dxa" w:w="18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</w:t>
            </w:r>
          </w:p>
        </w:tc>
      </w:tr>
      <w:tr>
        <w:tc>
          <w:tcPr>
            <w:tcW w:type="dxa" w:w="6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E000A"/>
                <w:sz w:val="22"/>
                <w:szCs w:val="22"/>
              </w:rPr>
              <w:t xml:space="preserve">3</w:t>
            </w:r>
          </w:p>
        </w:tc>
        <w:tc>
          <w:tcPr>
            <w:tcW w:type="dxa" w:w="33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</w:t>
            </w:r>
          </w:p>
        </w:tc>
        <w:tc>
          <w:tcPr>
            <w:tcW w:type="dxa" w:w="18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</w:t>
            </w:r>
          </w:p>
        </w:tc>
        <w:tc>
          <w:tcPr>
            <w:tcW w:type="dxa" w:w="18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</w:t>
            </w:r>
          </w:p>
        </w:tc>
        <w:tc>
          <w:tcPr>
            <w:tcW w:type="dxa" w:w="18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</w:t>
            </w:r>
          </w:p>
        </w:tc>
      </w:tr>
    </w:tbl>
    <w:p>
      <w:pPr>
        <w:spacing w:after="100" w:before="280"/>
      </w:pPr>
      <w:r>
        <w:rPr>
          <w:rFonts w:ascii="Calibri" w:cs="Calibri" w:eastAsia="Calibri" w:hAnsi="Calibri"/>
          <w:b/>
          <w:bCs/>
          <w:color w:val="6E000A"/>
          <w:sz w:val="22"/>
          <w:szCs w:val="22"/>
        </w:rPr>
        <w:t xml:space="preserve">TRANSLATE THE DELTA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756F70"/>
          <w:sz w:val="19"/>
          <w:szCs w:val="19"/>
        </w:rPr>
        <w:t xml:space="preserve">Pick one or two of these reframes. The right one depends on who you’re talking to.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FOR THIS AUDIENCE</w:t>
            </w:r>
          </w:p>
        </w:tc>
        <w:tc>
          <w:tcPr>
            <w:tcW w:type="dxa" w:w="7160"/>
            <w:shd w:fill="6E000A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USE THIS FRAME</w:t>
            </w:r>
          </w:p>
        </w:tc>
      </w:tr>
      <w:tr>
        <w:tc>
          <w:tcPr>
            <w:tcW w:type="dxa" w:w="22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Owner / Board</w:t>
            </w:r>
          </w:p>
        </w:tc>
        <w:tc>
          <w:tcPr>
            <w:tcW w:type="dxa" w:w="71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“We ran a 30-day pilot on three friction items. We saved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BABA"/>
                <w:sz w:val="19"/>
                <w:szCs w:val="19"/>
              </w:rPr>
              <w:t xml:space="preserve">____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minutes per shift, which equals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BABA"/>
                <w:sz w:val="19"/>
                <w:szCs w:val="19"/>
              </w:rPr>
              <w:t xml:space="preserve">____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FTE annualized. Here’s the next ask.”</w:t>
            </w:r>
          </w:p>
        </w:tc>
      </w:tr>
      <w:tr>
        <w:tc>
          <w:tcPr>
            <w:tcW w:type="dxa" w:w="22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CFO / Controller</w:t>
            </w:r>
          </w:p>
        </w:tc>
        <w:tc>
          <w:tcPr>
            <w:tcW w:type="dxa" w:w="71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“Delta of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BABA"/>
                <w:sz w:val="19"/>
                <w:szCs w:val="19"/>
              </w:rPr>
              <w:t xml:space="preserve">____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hours/year against a labor cost of $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BABA"/>
                <w:sz w:val="19"/>
                <w:szCs w:val="19"/>
              </w:rPr>
              <w:t xml:space="preserve">____.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Annualized recovery: $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BABA"/>
                <w:sz w:val="19"/>
                <w:szCs w:val="19"/>
              </w:rPr>
              <w:t xml:space="preserve">____.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Cost of the fix: $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BABA"/>
                <w:sz w:val="19"/>
                <w:szCs w:val="19"/>
              </w:rPr>
              <w:t xml:space="preserve">____.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Payback: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BABA"/>
                <w:sz w:val="19"/>
                <w:szCs w:val="19"/>
              </w:rPr>
              <w:t xml:space="preserve">____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months.”</w:t>
            </w:r>
          </w:p>
        </w:tc>
      </w:tr>
      <w:tr>
        <w:tc>
          <w:tcPr>
            <w:tcW w:type="dxa" w:w="22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DON / Charge Staff</w:t>
            </w:r>
          </w:p>
        </w:tc>
        <w:tc>
          <w:tcPr>
            <w:tcW w:type="dxa" w:w="71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“We gave back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0BABA"/>
                <w:sz w:val="19"/>
                <w:szCs w:val="19"/>
              </w:rPr>
              <w:t xml:space="preserve">____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hours/week to resident-facing care — not paperwork, not hunting. Here’s how we’ll hold the gain.”</w:t>
            </w:r>
          </w:p>
        </w:tc>
      </w:tr>
      <w:tr>
        <w:tc>
          <w:tcPr>
            <w:tcW w:type="dxa" w:w="220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Surveyor / QAPI</w:t>
            </w:r>
          </w:p>
        </w:tc>
        <w:tc>
          <w:tcPr>
            <w:tcW w:type="dxa" w:w="71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56F70"/>
                <w:sz w:val="19"/>
                <w:szCs w:val="19"/>
              </w:rPr>
              <w:t xml:space="preserve">“We identified an environmental contributor, baselined it, intervened, and re-measured. Here’s the delta. Here’s the standard work that holds it.”</w:t>
            </w:r>
          </w:p>
        </w:tc>
      </w:tr>
    </w:tbl>
    <w:p>
      <w:pPr>
        <w:spacing w:after="100" w:before="280"/>
      </w:pPr>
      <w:r>
        <w:rPr>
          <w:rFonts w:ascii="Calibri" w:cs="Calibri" w:eastAsia="Calibri" w:hAnsi="Calibri"/>
          <w:b/>
          <w:bCs/>
          <w:color w:val="6E000A"/>
          <w:sz w:val="22"/>
          <w:szCs w:val="22"/>
        </w:rPr>
        <w:t xml:space="preserve">WHAT WE LEARNED  (the part operators forget to capture)</w:t>
      </w:r>
    </w:p>
    <w:tbl>
      <w:tblPr>
        <w:tblW w:type="dxa" w:w="9360"/>
        <w:tblBorders>
          <w:top w:val="single" w:color="E6E0E0" w:sz="4"/>
          <w:left w:val="single" w:color="E6E0E0" w:sz="4"/>
          <w:bottom w:val="single" w:color="E6E0E0" w:sz="4"/>
          <w:right w:val="single" w:color="E6E0E0" w:sz="4"/>
          <w:insideH w:val="single" w:color="E6E0E0" w:sz="4"/>
          <w:insideV w:val="single" w:color="E6E0E0" w:sz="4"/>
        </w:tblBorders>
      </w:tblPr>
      <w:tblGrid>
        <w:gridCol w:w="2400"/>
        <w:gridCol w:w="6960"/>
      </w:tblGrid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What worked better than expected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C0BABA"/>
                <w:sz w:val="19"/>
                <w:szCs w:val="19"/>
              </w:rPr>
              <w:t xml:space="preserve">____________________________________________</w:t>
            </w:r>
          </w:p>
          <w:p>
            <w:pPr>
              <w:spacing w:after="0" w:before="220"/>
            </w:pPr>
            <w:r>
              <w:rPr>
                <w:rFonts w:ascii="Calibri" w:cs="Calibri" w:eastAsia="Calibri" w:hAnsi="Calibri"/>
                <w:color w:val="C0BABA"/>
                <w:sz w:val="19"/>
                <w:szCs w:val="19"/>
              </w:rPr>
              <w:t xml:space="preserve">____________________________________________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What didn’t work — and why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C0BABA"/>
                <w:sz w:val="19"/>
                <w:szCs w:val="19"/>
              </w:rPr>
              <w:t xml:space="preserve">____________________________________________</w:t>
            </w:r>
          </w:p>
          <w:p>
            <w:pPr>
              <w:spacing w:after="0" w:before="220"/>
            </w:pPr>
            <w:r>
              <w:rPr>
                <w:rFonts w:ascii="Calibri" w:cs="Calibri" w:eastAsia="Calibri" w:hAnsi="Calibri"/>
                <w:color w:val="C0BABA"/>
                <w:sz w:val="19"/>
                <w:szCs w:val="19"/>
              </w:rPr>
              <w:t xml:space="preserve">____________________________________________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What surprised us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C0BABA"/>
                <w:sz w:val="19"/>
                <w:szCs w:val="19"/>
              </w:rPr>
              <w:t xml:space="preserve">____________________________________________</w:t>
            </w:r>
          </w:p>
          <w:p>
            <w:pPr>
              <w:spacing w:after="0" w:before="220"/>
            </w:pPr>
            <w:r>
              <w:rPr>
                <w:rFonts w:ascii="Calibri" w:cs="Calibri" w:eastAsia="Calibri" w:hAnsi="Calibri"/>
                <w:color w:val="C0BABA"/>
                <w:sz w:val="19"/>
                <w:szCs w:val="19"/>
              </w:rPr>
              <w:t xml:space="preserve">____________________________________________</w:t>
            </w:r>
          </w:p>
        </w:tc>
      </w:tr>
      <w:tr>
        <w:tc>
          <w:tcPr>
            <w:tcW w:type="dxa" w:w="2400"/>
            <w:shd w:fill="FAF6F6" w:color="auto" w:val="clear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8"/>
                <w:szCs w:val="18"/>
              </w:rPr>
              <w:t xml:space="preserve">Top 3 for the NEXT pilot</w:t>
            </w:r>
          </w:p>
        </w:tc>
        <w:tc>
          <w:tcPr>
            <w:tcW w:type="dxa" w:w="6960"/>
            <w:tcMar>
              <w:top w:type="dxa" w:w="70"/>
              <w:left w:type="dxa" w:w="140"/>
              <w:bottom w:type="dxa" w:w="70"/>
              <w:right w:type="dxa" w:w="140"/>
            </w:tcMar>
            <w:vAlign w:val="top"/>
          </w:tcPr>
          <w:p>
            <w:pPr>
              <w:spacing w:after="40" w:before="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1.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2.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A0A"/>
                <w:sz w:val="19"/>
                <w:szCs w:val="19"/>
              </w:rPr>
              <w:t xml:space="preserve">3.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0BABA"/>
                <w:sz w:val="19"/>
                <w:szCs w:val="19"/>
              </w:rPr>
              <w:t xml:space="preserve">________________________________________________________</w:t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E000A" w:sz="6" w:space="6"/>
      </w:pBdr>
      <w:spacing w:after="0" w:before="0"/>
      <w:jc w:val="left"/>
    </w:pPr>
    <w:r>
      <w:rPr>
        <w:rFonts w:ascii="Calibri" w:cs="Calibri" w:eastAsia="Calibri" w:hAnsi="Calibri"/>
        <w:b/>
        <w:bCs/>
        <w:color w:val="6E000A"/>
        <w:sz w:val="18"/>
        <w:szCs w:val="18"/>
      </w:rPr>
      <w:t xml:space="preserve">Areté Architecture</w:t>
    </w:r>
    <w:r>
      <w:rPr>
        <w:rFonts w:ascii="Calibri" w:cs="Calibri" w:eastAsia="Calibri" w:hAnsi="Calibri"/>
        <w:color w:val="756F70"/>
        <w:sz w:val="18"/>
        <w:szCs w:val="18"/>
      </w:rPr>
      <w:t xml:space="preserve">   ·   arete-architecture.design   ·   425-318-1199   ·   Development Predictably Delivered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756F7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openxmlformats.org/officeDocument/2006/relationships/endnotes" Target="endnotes.xml"/><Relationship Id="rId9" Type="http://schemas.openxmlformats.org/officeDocument/2006/relationships/customXml" Target="../customXml/item1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88F6059FF0C468EA9CBB4B267EED8" ma:contentTypeVersion="14" ma:contentTypeDescription="Create a new document." ma:contentTypeScope="" ma:versionID="0330f27917949ef3c75dc8b546faa1a8">
  <xsd:schema xmlns:xsd="http://www.w3.org/2001/XMLSchema" xmlns:xs="http://www.w3.org/2001/XMLSchema" xmlns:p="http://schemas.microsoft.com/office/2006/metadata/properties" xmlns:ns2="8c91b646-3776-4fce-85f8-fbc4da2bb054" xmlns:ns3="23b110a3-f11a-4f4b-8850-abbb1cf9765a" targetNamespace="http://schemas.microsoft.com/office/2006/metadata/properties" ma:root="true" ma:fieldsID="de3f7c4251e30a95c01ba4024274a219" ns2:_="" ns3:_="">
    <xsd:import namespace="8c91b646-3776-4fce-85f8-fbc4da2bb054"/>
    <xsd:import namespace="23b110a3-f11a-4f4b-8850-abbb1cf97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1b646-3776-4fce-85f8-fbc4da2bb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108bad-dcfa-41f7-a724-1c0fce7a3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10a3-f11a-4f4b-8850-abbb1cf976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4ccfbd-af29-4f15-b8ad-2d7714a901e4}" ma:internalName="TaxCatchAll" ma:showField="CatchAllData" ma:web="23b110a3-f11a-4f4b-8850-abbb1cf97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1b646-3776-4fce-85f8-fbc4da2bb054">
      <Terms xmlns="http://schemas.microsoft.com/office/infopath/2007/PartnerControls"/>
    </lcf76f155ced4ddcb4097134ff3c332f>
    <TaxCatchAll xmlns="23b110a3-f11a-4f4b-8850-abbb1cf9765a" xsi:nil="true"/>
  </documentManagement>
</p:properties>
</file>

<file path=customXml/itemProps1.xml><?xml version="1.0" encoding="utf-8"?>
<ds:datastoreItem xmlns:ds="http://schemas.openxmlformats.org/officeDocument/2006/customXml" ds:itemID="{207128A5-5118-4A00-BFB7-9923D59A193E}"/>
</file>

<file path=customXml/itemProps2.xml><?xml version="1.0" encoding="utf-8"?>
<ds:datastoreItem xmlns:ds="http://schemas.openxmlformats.org/officeDocument/2006/customXml" ds:itemID="{CB7700E6-390F-4384-8736-1540369300A6}"/>
</file>

<file path=customXml/itemProps3.xml><?xml version="1.0" encoding="utf-8"?>
<ds:datastoreItem xmlns:ds="http://schemas.openxmlformats.org/officeDocument/2006/customXml" ds:itemID="{EEC13471-96E2-4404-BC97-C52691B724B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30-Day Friction Pilot Plan</dc:title>
  <dc:creator>Areté Architecture</dc:creator>
  <dc:description>WHCA Spring Conference Session 1 — 30-Day Friction Pilot Plan</dc:description>
  <cp:lastModifiedBy>Un-named</cp:lastModifiedBy>
  <cp:revision>1</cp:revision>
  <dcterms:created xsi:type="dcterms:W3CDTF">2026-05-02T15:18:22Z</dcterms:created>
  <dcterms:modified xsi:type="dcterms:W3CDTF">2026-05-02T15:18:22Z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0x01010096788F6059FF0C468EA9CBB4B267EED8</vt:lpwstr>
  </property>
</Properties>
</file>