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line="259" w:lineRule="auto"/>
      </w:pPr>
      <w:r>
        <w:rPr>
          <w:rFonts w:ascii="Aptos" w:hAnsi="Aptos"/>
          <w:b/>
          <w:i w:val="0"/>
          <w:color w:val="1F1F1F"/>
          <w:sz w:val="20"/>
        </w:rPr>
        <w:t>MULTIFAMILY TOOL | MF-11</w:t>
      </w:r>
    </w:p>
    <w:p>
      <w:pPr>
        <w:spacing w:after="0"/>
      </w:pPr>
      <w:r>
        <w:rPr>
          <w:b/>
          <w:i w:val="0"/>
          <w:color w:val="1F1F1F"/>
          <w:sz w:val="48"/>
        </w:rPr>
        <w:t>GMP Scope Confidence Test</w:t>
      </w:r>
    </w:p>
    <w:p>
      <w:pPr>
        <w:spacing w:after="200"/>
      </w:pPr>
      <w:r>
        <w:rPr>
          <w:b/>
          <w:i w:val="0"/>
          <w:color w:val="9E1B1E"/>
          <w:sz w:val="40"/>
        </w:rPr>
        <w:t>+ Pricing Risk Register</w:t>
      </w:r>
    </w:p>
    <w:tbl>
      <w:tblPr>
        <w:tblW w:type="auto" w:w="0"/>
        <w:jc w:val="center"/>
        <w:tblLook w:firstColumn="1" w:firstRow="1" w:lastColumn="0" w:lastRow="0" w:noHBand="0" w:noVBand="1" w:val="04A0"/>
      </w:tblPr>
      <w:tblGrid>
        <w:gridCol w:w="10454"/>
      </w:tblGrid>
      <w:tr>
        <w:tc>
          <w:tcPr>
            <w:tcW w:type="dxa" w:w="10454"/>
            <w:shd w:fill="F8EDED"/>
            <w:tcBorders>
              <w:top w:val="single" w:sz="6" w:space="0" w:color="E6C8C8"/>
              <w:left w:val="single" w:sz="6" w:space="0" w:color="E6C8C8"/>
              <w:bottom w:val="single" w:sz="6" w:space="0" w:color="E6C8C8"/>
              <w:right w:val="single" w:sz="6" w:space="0" w:color="E6C8C8"/>
              <w:insideH w:val="single" w:sz="6" w:space="0" w:color="E6C8C8"/>
              <w:insideV w:val="single" w:sz="6" w:space="0" w:color="E6C8C8"/>
            </w:tcBorders>
            <w:tcMar>
              <w:top w:w="140" w:type="dxa"/>
              <w:start w:w="180" w:type="dxa"/>
              <w:bottom w:w="140" w:type="dxa"/>
              <w:end w:w="180" w:type="dxa"/>
            </w:tcMar>
          </w:tcPr>
          <w:p>
            <w:pPr>
              <w:spacing w:before="0" w:after="0" w:line="259" w:lineRule="auto"/>
            </w:pPr>
            <w:r>
              <w:rPr>
                <w:rFonts w:ascii="Aptos" w:hAnsi="Aptos"/>
                <w:b/>
                <w:i w:val="0"/>
                <w:color w:val="1F1F1F"/>
                <w:sz w:val="21"/>
              </w:rPr>
              <w:t xml:space="preserve">Core decision: </w:t>
            </w:r>
            <w:r>
              <w:rPr>
                <w:rFonts w:ascii="Aptos" w:hAnsi="Aptos"/>
                <w:b w:val="0"/>
                <w:i w:val="0"/>
                <w:color w:val="1F1F1F"/>
                <w:sz w:val="21"/>
              </w:rPr>
              <w:t>Is this GMP based on coordinated, priceable scope — or is it carrying unresolved risk through assumptions, allowances, exclusions, and missing information?</w:t>
            </w:r>
          </w:p>
        </w:tc>
      </w:tr>
    </w:tbl>
    <w:p>
      <w:pPr>
        <w:spacing w:after="60"/>
      </w:pPr>
    </w:p>
    <w:p>
      <w:pPr>
        <w:spacing w:before="200" w:after="80"/>
      </w:pPr>
      <w:r>
        <w:rPr>
          <w:rFonts w:ascii="Aptos Display" w:hAnsi="Aptos Display"/>
          <w:b/>
          <w:color w:val="9E1B1E"/>
          <w:sz w:val="32"/>
        </w:rPr>
        <w:t>How to use this tool</w:t>
      </w:r>
    </w:p>
    <w:p>
      <w:pPr>
        <w:spacing w:before="0" w:after="120" w:line="259" w:lineRule="auto"/>
      </w:pPr>
      <w:r>
        <w:rPr>
          <w:rFonts w:ascii="Aptos" w:hAnsi="Aptos"/>
          <w:b w:val="0"/>
          <w:i w:val="0"/>
          <w:color w:val="1F1F1F"/>
          <w:sz w:val="21"/>
        </w:rPr>
        <w:t>Use this worksheet before accepting or relying on a GMP. The goal is not to prove the price is perfect. The goal is to test whether the contractor had enough coordinated information to make reasonable assumptions and whether the remaining risk is visible, owned, and governed.</w:t>
      </w:r>
    </w:p>
    <w:tbl>
      <w:tblPr>
        <w:tblW w:type="auto" w:w="0"/>
        <w:jc w:val="center"/>
        <w:tblLook w:firstColumn="1" w:firstRow="1" w:lastColumn="0" w:lastRow="0" w:noHBand="0" w:noVBand="1" w:val="04A0"/>
      </w:tblPr>
      <w:tblGrid>
        <w:gridCol w:w="10454"/>
      </w:tblGrid>
      <w:tr>
        <w:tc>
          <w:tcPr>
            <w:tcW w:type="dxa" w:w="10454"/>
            <w:shd w:fill="F7F7F7"/>
            <w:tcBorders>
              <w:top w:val="single" w:sz="6" w:space="0" w:color="E6C8C8"/>
              <w:left w:val="single" w:sz="6" w:space="0" w:color="E6C8C8"/>
              <w:bottom w:val="single" w:sz="6" w:space="0" w:color="E6C8C8"/>
              <w:right w:val="single" w:sz="6" w:space="0" w:color="E6C8C8"/>
              <w:insideH w:val="single" w:sz="6" w:space="0" w:color="E6C8C8"/>
              <w:insideV w:val="single" w:sz="6" w:space="0" w:color="E6C8C8"/>
            </w:tcBorders>
            <w:tcMar>
              <w:top w:w="140" w:type="dxa"/>
              <w:start w:w="180" w:type="dxa"/>
              <w:bottom w:w="140" w:type="dxa"/>
              <w:end w:w="180" w:type="dxa"/>
            </w:tcMar>
          </w:tcPr>
          <w:p>
            <w:pPr>
              <w:spacing w:before="0" w:after="0" w:line="259" w:lineRule="auto"/>
            </w:pPr>
            <w:r>
              <w:rPr>
                <w:rFonts w:ascii="Aptos" w:hAnsi="Aptos"/>
                <w:b/>
                <w:i w:val="0"/>
                <w:color w:val="1F1F1F"/>
                <w:sz w:val="21"/>
              </w:rPr>
              <w:t xml:space="preserve">Key rule: </w:t>
            </w:r>
            <w:r>
              <w:rPr>
                <w:rFonts w:ascii="Aptos" w:hAnsi="Aptos"/>
                <w:b w:val="0"/>
                <w:i w:val="0"/>
                <w:color w:val="1F1F1F"/>
                <w:sz w:val="21"/>
              </w:rPr>
              <w:t>The drawings do not need to be perfect. The GMP does need to make the remaining uncertainty visible.</w:t>
            </w:r>
          </w:p>
        </w:tc>
      </w:tr>
    </w:tbl>
    <w:p>
      <w:pPr>
        <w:spacing w:after="60"/>
      </w:pPr>
    </w:p>
    <w:p>
      <w:pPr>
        <w:spacing w:before="200" w:after="80"/>
      </w:pPr>
      <w:r>
        <w:rPr>
          <w:rFonts w:ascii="Aptos Display" w:hAnsi="Aptos Display"/>
          <w:b/>
          <w:color w:val="9E1B1E"/>
          <w:sz w:val="32"/>
        </w:rPr>
        <w:t>Gate decision</w:t>
      </w:r>
    </w:p>
    <w:tbl>
      <w:tblPr>
        <w:tblW w:type="auto" w:w="0"/>
        <w:jc w:val="center"/>
        <w:tblLayout w:type="fixed"/>
        <w:tblLook w:firstColumn="1" w:firstRow="1" w:lastColumn="0" w:lastRow="0" w:noHBand="0" w:noVBand="1" w:val="04A0"/>
      </w:tblPr>
      <w:tblGrid>
        <w:gridCol w:w="5227"/>
        <w:gridCol w:w="5227"/>
      </w:tblGrid>
      <w:tr>
        <w:tc>
          <w:tcPr>
            <w:tcW w:type="dxa" w:w="2736"/>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Outcome</w:t>
            </w:r>
          </w:p>
        </w:tc>
        <w:tc>
          <w:tcPr>
            <w:tcW w:type="dxa" w:w="7703"/>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Use when...</w:t>
            </w:r>
          </w:p>
        </w:tc>
      </w:tr>
      <w:tr>
        <w:tc>
          <w:tcPr>
            <w:tcW w:type="dxa" w:w="2736"/>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Ready to Price</w:t>
            </w:r>
          </w:p>
        </w:tc>
        <w:tc>
          <w:tcPr>
            <w:tcW w:type="dxa" w:w="7703"/>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Scope is coordinated enough for reasonable assumptions. Major risks are priced, documented, or explicitly owned.</w:t>
            </w:r>
          </w:p>
        </w:tc>
      </w:tr>
      <w:tr>
        <w:tc>
          <w:tcPr>
            <w:tcW w:type="dxa" w:w="2736"/>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Price With Known Risks</w:t>
            </w:r>
          </w:p>
        </w:tc>
        <w:tc>
          <w:tcPr>
            <w:tcW w:type="dxa" w:w="7703"/>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A pricing deadline is real, but remaining risks are limited, visible, assigned, and carried in the register.</w:t>
            </w:r>
          </w:p>
        </w:tc>
      </w:tr>
      <w:tr>
        <w:tc>
          <w:tcPr>
            <w:tcW w:type="dxa" w:w="2736"/>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Not Ready — Resolve Before GMP</w:t>
            </w:r>
          </w:p>
        </w:tc>
        <w:tc>
          <w:tcPr>
            <w:tcW w:type="dxa" w:w="7703"/>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Unresolved gaps are likely to hide major scope, distort pricing, or become future change orders.</w:t>
            </w:r>
          </w:p>
        </w:tc>
      </w:tr>
    </w:tbl>
    <w:p>
      <w:pPr>
        <w:spacing w:after="80"/>
      </w:pPr>
    </w:p>
    <w:p>
      <w:pPr>
        <w:spacing w:before="140" w:after="80"/>
      </w:pPr>
      <w:r>
        <w:rPr>
          <w:rFonts w:ascii="Aptos Display" w:hAnsi="Aptos Display"/>
          <w:b/>
          <w:color w:val="1F1F1F"/>
          <w:sz w:val="25"/>
        </w:rPr>
        <w:t>Recommended meeting output</w:t>
      </w:r>
    </w:p>
    <w:p>
      <w:pPr>
        <w:spacing w:after="60" w:before="0" w:line="259" w:lineRule="auto"/>
        <w:ind w:left="259" w:hanging="173"/>
      </w:pPr>
      <w:r>
        <w:rPr>
          <w:rFonts w:ascii="Aptos" w:hAnsi="Aptos"/>
          <w:b/>
          <w:i w:val="0"/>
          <w:color w:val="1F1F1F"/>
          <w:sz w:val="20"/>
        </w:rPr>
        <w:t xml:space="preserve">• </w:t>
      </w:r>
      <w:r>
        <w:rPr>
          <w:rFonts w:ascii="Aptos" w:hAnsi="Aptos"/>
          <w:b w:val="0"/>
          <w:i w:val="0"/>
          <w:color w:val="1F1F1F"/>
          <w:sz w:val="20"/>
        </w:rPr>
        <w:t>A gate decision: Ready to Price, Price With Known Risks, or Not Ready.</w:t>
      </w:r>
    </w:p>
    <w:p>
      <w:pPr>
        <w:spacing w:after="60" w:before="0" w:line="259" w:lineRule="auto"/>
        <w:ind w:left="259" w:hanging="173"/>
      </w:pPr>
      <w:r>
        <w:rPr>
          <w:rFonts w:ascii="Aptos" w:hAnsi="Aptos"/>
          <w:b/>
          <w:i w:val="0"/>
          <w:color w:val="1F1F1F"/>
          <w:sz w:val="20"/>
        </w:rPr>
        <w:t xml:space="preserve">• </w:t>
      </w:r>
      <w:r>
        <w:rPr>
          <w:rFonts w:ascii="Aptos" w:hAnsi="Aptos"/>
          <w:b w:val="0"/>
          <w:i w:val="0"/>
          <w:color w:val="1F1F1F"/>
          <w:sz w:val="20"/>
        </w:rPr>
        <w:t>A completed scope confidence score across the five tests.</w:t>
      </w:r>
    </w:p>
    <w:p>
      <w:pPr>
        <w:spacing w:after="60" w:before="0" w:line="259" w:lineRule="auto"/>
        <w:ind w:left="259" w:hanging="173"/>
      </w:pPr>
      <w:r>
        <w:rPr>
          <w:rFonts w:ascii="Aptos" w:hAnsi="Aptos"/>
          <w:b/>
          <w:i w:val="0"/>
          <w:color w:val="1F1F1F"/>
          <w:sz w:val="20"/>
        </w:rPr>
        <w:t xml:space="preserve">• </w:t>
      </w:r>
      <w:r>
        <w:rPr>
          <w:rFonts w:ascii="Aptos" w:hAnsi="Aptos"/>
          <w:b w:val="0"/>
          <w:i w:val="0"/>
          <w:color w:val="1F1F1F"/>
          <w:sz w:val="20"/>
        </w:rPr>
        <w:t>A pricing risk register with owner, mitigation, due date, and decision status.</w:t>
      </w:r>
    </w:p>
    <w:p>
      <w:pPr>
        <w:spacing w:after="60" w:before="0" w:line="259" w:lineRule="auto"/>
        <w:ind w:left="259" w:hanging="173"/>
      </w:pPr>
      <w:r>
        <w:rPr>
          <w:rFonts w:ascii="Aptos" w:hAnsi="Aptos"/>
          <w:b/>
          <w:i w:val="0"/>
          <w:color w:val="1F1F1F"/>
          <w:sz w:val="20"/>
        </w:rPr>
        <w:t xml:space="preserve">• </w:t>
      </w:r>
      <w:r>
        <w:rPr>
          <w:rFonts w:ascii="Aptos" w:hAnsi="Aptos"/>
          <w:b w:val="0"/>
          <w:i w:val="0"/>
          <w:color w:val="1F1F1F"/>
          <w:sz w:val="20"/>
        </w:rPr>
        <w:t>A short list of items that must be clarified before the GMP can be relied on.</w:t>
      </w:r>
    </w:p>
    <w:p>
      <w:r>
        <w:br w:type="page"/>
      </w:r>
    </w:p>
    <w:p>
      <w:pPr>
        <w:spacing w:before="200" w:after="80"/>
      </w:pPr>
      <w:r>
        <w:rPr>
          <w:rFonts w:ascii="Aptos Display" w:hAnsi="Aptos Display"/>
          <w:b/>
          <w:color w:val="9E1B1E"/>
          <w:sz w:val="32"/>
        </w:rPr>
        <w:t>Part 1 — GMP Scope Confidence Test</w:t>
      </w:r>
    </w:p>
    <w:p>
      <w:pPr>
        <w:spacing w:before="0" w:after="120" w:line="259" w:lineRule="auto"/>
      </w:pPr>
      <w:r>
        <w:rPr>
          <w:rFonts w:ascii="Aptos" w:hAnsi="Aptos"/>
          <w:b w:val="0"/>
          <w:i w:val="0"/>
          <w:color w:val="1F1F1F"/>
          <w:sz w:val="21"/>
        </w:rPr>
        <w:t>Score each test as Ready, Risk, or Not Ready. Do not debate vague comfort. Name what information supports the score and what must be resolved before the number is relied on.</w:t>
      </w:r>
    </w:p>
    <w:tbl>
      <w:tblPr>
        <w:tblW w:type="auto" w:w="0"/>
        <w:jc w:val="center"/>
        <w:tblLayout w:type="fixed"/>
        <w:tblLook w:firstColumn="1" w:firstRow="1" w:lastColumn="0" w:lastRow="0" w:noHBand="0" w:noVBand="1" w:val="04A0"/>
      </w:tblPr>
      <w:tblGrid>
        <w:gridCol w:w="2613"/>
        <w:gridCol w:w="2613"/>
        <w:gridCol w:w="2613"/>
        <w:gridCol w:w="2613"/>
      </w:tblGrid>
      <w:tr>
        <w:tc>
          <w:tcPr>
            <w:tcW w:type="dxa" w:w="503"/>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w:t>
            </w:r>
          </w:p>
        </w:tc>
        <w:tc>
          <w:tcPr>
            <w:tcW w:type="dxa" w:w="2088"/>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Test</w:t>
            </w:r>
          </w:p>
        </w:tc>
        <w:tc>
          <w:tcPr>
            <w:tcW w:type="dxa" w:w="5256"/>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What must be true</w:t>
            </w:r>
          </w:p>
        </w:tc>
        <w:tc>
          <w:tcPr>
            <w:tcW w:type="dxa" w:w="2592"/>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Score / evidence</w:t>
            </w:r>
          </w:p>
        </w:tc>
      </w:tr>
      <w:tr>
        <w:tc>
          <w:tcPr>
            <w:tcW w:type="dxa" w:w="503"/>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1</w:t>
            </w:r>
          </w:p>
        </w:tc>
        <w:tc>
          <w:tcPr>
            <w:tcW w:type="dxa" w:w="2088"/>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Drawing coordination</w:t>
            </w:r>
          </w:p>
        </w:tc>
        <w:tc>
          <w:tcPr>
            <w:tcW w:type="dxa" w:w="5256"/>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Architecture, structural, civil, MEP, fire protection, accessibility, and specifications reconcile well enough for a contractor to price scope without guessing between contradictions.</w:t>
            </w:r>
          </w:p>
        </w:tc>
        <w:tc>
          <w:tcPr>
            <w:tcW w:type="dxa" w:w="2592"/>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Ready / Risk / Not Ready</w:t>
              <w:br/>
              <w:t>Evidence/gap: ____________________</w:t>
            </w:r>
          </w:p>
        </w:tc>
      </w:tr>
      <w:tr>
        <w:tc>
          <w:tcPr>
            <w:tcW w:type="dxa" w:w="503"/>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2</w:t>
            </w:r>
          </w:p>
        </w:tc>
        <w:tc>
          <w:tcPr>
            <w:tcW w:type="dxa" w:w="2088"/>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Site information</w:t>
            </w:r>
          </w:p>
        </w:tc>
        <w:tc>
          <w:tcPr>
            <w:tcW w:type="dxa" w:w="5256"/>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Survey, existing conditions, utilities, geotech, grades, access, ROW, easements, and civil constraints are reliable enough to prevent scope surprises.</w:t>
            </w:r>
          </w:p>
        </w:tc>
        <w:tc>
          <w:tcPr>
            <w:tcW w:type="dxa" w:w="2592"/>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Ready / Risk / Not Ready</w:t>
              <w:br/>
              <w:t>Evidence/gap: ____________________</w:t>
            </w:r>
          </w:p>
        </w:tc>
      </w:tr>
      <w:tr>
        <w:tc>
          <w:tcPr>
            <w:tcW w:type="dxa" w:w="503"/>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3</w:t>
            </w:r>
          </w:p>
        </w:tc>
        <w:tc>
          <w:tcPr>
            <w:tcW w:type="dxa" w:w="2088"/>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Assumptions quality</w:t>
            </w:r>
          </w:p>
        </w:tc>
        <w:tc>
          <w:tcPr>
            <w:tcW w:type="dxa" w:w="5256"/>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Contractor assumptions are specific, tied to drawings or narratives, and acceptable to the owner. Vague assumptions are resolved or carried as risks.</w:t>
            </w:r>
          </w:p>
        </w:tc>
        <w:tc>
          <w:tcPr>
            <w:tcW w:type="dxa" w:w="2592"/>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Ready / Risk / Not Ready</w:t>
              <w:br/>
              <w:t>Evidence/gap: ____________________</w:t>
            </w:r>
          </w:p>
        </w:tc>
      </w:tr>
    </w:tbl>
    <w:p>
      <w:pPr>
        <w:spacing w:after="80"/>
      </w:pPr>
    </w:p>
    <w:tbl>
      <w:tblPr>
        <w:tblW w:type="auto" w:w="0"/>
        <w:jc w:val="center"/>
        <w:tblLayout w:type="fixed"/>
        <w:tblLook w:firstColumn="1" w:firstRow="1" w:lastColumn="0" w:lastRow="0" w:noHBand="0" w:noVBand="1" w:val="04A0"/>
      </w:tblPr>
      <w:tblGrid>
        <w:gridCol w:w="2613"/>
        <w:gridCol w:w="2613"/>
        <w:gridCol w:w="2613"/>
        <w:gridCol w:w="2613"/>
      </w:tblGrid>
      <w:tr>
        <w:tc>
          <w:tcPr>
            <w:tcW w:type="dxa" w:w="503"/>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w:t>
            </w:r>
          </w:p>
        </w:tc>
        <w:tc>
          <w:tcPr>
            <w:tcW w:type="dxa" w:w="2088"/>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Test</w:t>
            </w:r>
          </w:p>
        </w:tc>
        <w:tc>
          <w:tcPr>
            <w:tcW w:type="dxa" w:w="5256"/>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What must be true</w:t>
            </w:r>
          </w:p>
        </w:tc>
        <w:tc>
          <w:tcPr>
            <w:tcW w:type="dxa" w:w="2592"/>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Score / evidence</w:t>
            </w:r>
          </w:p>
        </w:tc>
      </w:tr>
      <w:tr>
        <w:tc>
          <w:tcPr>
            <w:tcW w:type="dxa" w:w="503"/>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4</w:t>
            </w:r>
          </w:p>
        </w:tc>
        <w:tc>
          <w:tcPr>
            <w:tcW w:type="dxa" w:w="2088"/>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Allowances + exclusions</w:t>
            </w:r>
          </w:p>
        </w:tc>
        <w:tc>
          <w:tcPr>
            <w:tcW w:type="dxa" w:w="5256"/>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Allowances and exclusions are limited, justified, owner-visible, and not carrying major unpriced scope that should be defined.</w:t>
            </w:r>
          </w:p>
        </w:tc>
        <w:tc>
          <w:tcPr>
            <w:tcW w:type="dxa" w:w="2592"/>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Ready / Risk / Not Ready</w:t>
              <w:br/>
              <w:t>Evidence/gap: ____________________</w:t>
            </w:r>
          </w:p>
        </w:tc>
      </w:tr>
      <w:tr>
        <w:tc>
          <w:tcPr>
            <w:tcW w:type="dxa" w:w="503"/>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5</w:t>
            </w:r>
          </w:p>
        </w:tc>
        <w:tc>
          <w:tcPr>
            <w:tcW w:type="dxa" w:w="2088"/>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Change-order exposure</w:t>
            </w:r>
          </w:p>
        </w:tc>
        <w:tc>
          <w:tcPr>
            <w:tcW w:type="dxa" w:w="5256"/>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Likely future change-order triggers are named, assigned, and either priced, mitigated, excluded knowingly, or resolved before GMP acceptance.</w:t>
            </w:r>
          </w:p>
        </w:tc>
        <w:tc>
          <w:tcPr>
            <w:tcW w:type="dxa" w:w="2592"/>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Ready / Risk / Not Ready</w:t>
              <w:br/>
              <w:t>Evidence/gap: ____________________</w:t>
            </w:r>
          </w:p>
        </w:tc>
      </w:tr>
    </w:tbl>
    <w:p>
      <w:pPr>
        <w:spacing w:after="80"/>
      </w:pPr>
    </w:p>
    <w:tbl>
      <w:tblPr>
        <w:tblW w:type="auto" w:w="0"/>
        <w:jc w:val="center"/>
        <w:tblLook w:firstColumn="1" w:firstRow="1" w:lastColumn="0" w:lastRow="0" w:noHBand="0" w:noVBand="1" w:val="04A0"/>
      </w:tblPr>
      <w:tblGrid>
        <w:gridCol w:w="10454"/>
      </w:tblGrid>
      <w:tr>
        <w:tc>
          <w:tcPr>
            <w:tcW w:type="dxa" w:w="10454"/>
            <w:shd w:fill="F7F7F7"/>
            <w:tcBorders>
              <w:top w:val="single" w:sz="6" w:space="0" w:color="E6C8C8"/>
              <w:left w:val="single" w:sz="6" w:space="0" w:color="E6C8C8"/>
              <w:bottom w:val="single" w:sz="6" w:space="0" w:color="E6C8C8"/>
              <w:right w:val="single" w:sz="6" w:space="0" w:color="E6C8C8"/>
              <w:insideH w:val="single" w:sz="6" w:space="0" w:color="E6C8C8"/>
              <w:insideV w:val="single" w:sz="6" w:space="0" w:color="E6C8C8"/>
            </w:tcBorders>
            <w:tcMar>
              <w:top w:w="140" w:type="dxa"/>
              <w:start w:w="180" w:type="dxa"/>
              <w:bottom w:w="140" w:type="dxa"/>
              <w:end w:w="180" w:type="dxa"/>
            </w:tcMar>
          </w:tcPr>
          <w:p>
            <w:pPr>
              <w:spacing w:before="0" w:after="0" w:line="259" w:lineRule="auto"/>
            </w:pPr>
            <w:r>
              <w:rPr>
                <w:rFonts w:ascii="Aptos" w:hAnsi="Aptos"/>
                <w:b/>
                <w:i w:val="0"/>
                <w:color w:val="1F1F1F"/>
                <w:sz w:val="21"/>
              </w:rPr>
              <w:t xml:space="preserve">Pass/fail logic: </w:t>
            </w:r>
            <w:r>
              <w:rPr>
                <w:rFonts w:ascii="Aptos" w:hAnsi="Aptos"/>
                <w:b w:val="0"/>
                <w:i w:val="0"/>
                <w:color w:val="1F1F1F"/>
                <w:sz w:val="21"/>
              </w:rPr>
              <w:t>One Not Ready item can block reliance on the GMP if it could hide major scope or materially change cost, schedule, or constructability.</w:t>
            </w:r>
          </w:p>
        </w:tc>
      </w:tr>
    </w:tbl>
    <w:p>
      <w:pPr>
        <w:spacing w:after="60"/>
      </w:pPr>
    </w:p>
    <w:p>
      <w:pPr>
        <w:spacing w:before="140" w:after="80"/>
      </w:pPr>
      <w:r>
        <w:rPr>
          <w:rFonts w:ascii="Aptos Display" w:hAnsi="Aptos Display"/>
          <w:b/>
          <w:color w:val="1F1F1F"/>
          <w:sz w:val="25"/>
        </w:rPr>
        <w:t>Owner / PM accountability questions</w:t>
      </w:r>
    </w:p>
    <w:p>
      <w:pPr>
        <w:spacing w:after="60" w:before="0" w:line="259" w:lineRule="auto"/>
        <w:ind w:left="259" w:hanging="173"/>
      </w:pPr>
      <w:r>
        <w:rPr>
          <w:rFonts w:ascii="Aptos" w:hAnsi="Aptos"/>
          <w:b/>
          <w:i w:val="0"/>
          <w:color w:val="1F1F1F"/>
          <w:sz w:val="20"/>
        </w:rPr>
        <w:t xml:space="preserve">• </w:t>
      </w:r>
      <w:r>
        <w:rPr>
          <w:rFonts w:ascii="Aptos" w:hAnsi="Aptos"/>
          <w:b w:val="0"/>
          <w:i w:val="0"/>
          <w:color w:val="1F1F1F"/>
          <w:sz w:val="20"/>
        </w:rPr>
        <w:t>What scope did the contractor have to assume because the drawings did not define it?</w:t>
      </w:r>
    </w:p>
    <w:p>
      <w:pPr>
        <w:spacing w:after="60" w:before="0" w:line="259" w:lineRule="auto"/>
        <w:ind w:left="259" w:hanging="173"/>
      </w:pPr>
      <w:r>
        <w:rPr>
          <w:rFonts w:ascii="Aptos" w:hAnsi="Aptos"/>
          <w:b/>
          <w:i w:val="0"/>
          <w:color w:val="1F1F1F"/>
          <w:sz w:val="20"/>
        </w:rPr>
        <w:t xml:space="preserve">• </w:t>
      </w:r>
      <w:r>
        <w:rPr>
          <w:rFonts w:ascii="Aptos" w:hAnsi="Aptos"/>
          <w:b w:val="0"/>
          <w:i w:val="0"/>
          <w:color w:val="1F1F1F"/>
          <w:sz w:val="20"/>
        </w:rPr>
        <w:t>Which allowances are carrying real scope risk rather than minor finish or quantity uncertainty?</w:t>
      </w:r>
    </w:p>
    <w:p>
      <w:pPr>
        <w:spacing w:after="60" w:before="0" w:line="259" w:lineRule="auto"/>
        <w:ind w:left="259" w:hanging="173"/>
      </w:pPr>
      <w:r>
        <w:rPr>
          <w:rFonts w:ascii="Aptos" w:hAnsi="Aptos"/>
          <w:b/>
          <w:i w:val="0"/>
          <w:color w:val="1F1F1F"/>
          <w:sz w:val="20"/>
        </w:rPr>
        <w:t xml:space="preserve">• </w:t>
      </w:r>
      <w:r>
        <w:rPr>
          <w:rFonts w:ascii="Aptos" w:hAnsi="Aptos"/>
          <w:b w:val="0"/>
          <w:i w:val="0"/>
          <w:color w:val="1F1F1F"/>
          <w:sz w:val="20"/>
        </w:rPr>
        <w:t>Which exclusions would become owner cost if the scope is later required?</w:t>
      </w:r>
    </w:p>
    <w:p>
      <w:pPr>
        <w:spacing w:after="60" w:before="0" w:line="259" w:lineRule="auto"/>
        <w:ind w:left="259" w:hanging="173"/>
      </w:pPr>
      <w:r>
        <w:rPr>
          <w:rFonts w:ascii="Aptos" w:hAnsi="Aptos"/>
          <w:b/>
          <w:i w:val="0"/>
          <w:color w:val="1F1F1F"/>
          <w:sz w:val="20"/>
        </w:rPr>
        <w:t xml:space="preserve">• </w:t>
      </w:r>
      <w:r>
        <w:rPr>
          <w:rFonts w:ascii="Aptos" w:hAnsi="Aptos"/>
          <w:b w:val="0"/>
          <w:i w:val="0"/>
          <w:color w:val="1F1F1F"/>
          <w:sz w:val="20"/>
        </w:rPr>
        <w:t>What site, survey, civil, utility, or existing-condition information is still unverified?</w:t>
      </w:r>
    </w:p>
    <w:p>
      <w:pPr>
        <w:spacing w:after="60" w:before="0" w:line="259" w:lineRule="auto"/>
        <w:ind w:left="259" w:hanging="173"/>
      </w:pPr>
      <w:r>
        <w:rPr>
          <w:rFonts w:ascii="Aptos" w:hAnsi="Aptos"/>
          <w:b/>
          <w:i w:val="0"/>
          <w:color w:val="1F1F1F"/>
          <w:sz w:val="20"/>
        </w:rPr>
        <w:t xml:space="preserve">• </w:t>
      </w:r>
      <w:r>
        <w:rPr>
          <w:rFonts w:ascii="Aptos" w:hAnsi="Aptos"/>
          <w:b w:val="0"/>
          <w:i w:val="0"/>
          <w:color w:val="1F1F1F"/>
          <w:sz w:val="20"/>
        </w:rPr>
        <w:t>What would most likely become a change order after GMP acceptance?</w:t>
      </w:r>
    </w:p>
    <w:p>
      <w:r>
        <w:br w:type="page"/>
      </w:r>
    </w:p>
    <w:p>
      <w:pPr>
        <w:spacing w:before="200" w:after="80"/>
      </w:pPr>
      <w:r>
        <w:rPr>
          <w:rFonts w:ascii="Aptos Display" w:hAnsi="Aptos Display"/>
          <w:b/>
          <w:color w:val="9E1B1E"/>
          <w:sz w:val="32"/>
        </w:rPr>
        <w:t>Part 2 — Pricing Risk Register</w:t>
      </w:r>
    </w:p>
    <w:p>
      <w:pPr>
        <w:spacing w:before="0" w:after="120" w:line="259" w:lineRule="auto"/>
      </w:pPr>
      <w:r>
        <w:rPr>
          <w:rFonts w:ascii="Aptos" w:hAnsi="Aptos"/>
          <w:b w:val="0"/>
          <w:i w:val="0"/>
          <w:color w:val="1F1F1F"/>
          <w:sz w:val="21"/>
        </w:rPr>
        <w:t>Use this register to turn hidden risk into governed risk. Every material assumption, allowance, exclusion, missing input, or coordination gap should have an owner and a due date.</w:t>
      </w:r>
    </w:p>
    <w:tbl>
      <w:tblPr>
        <w:tblW w:type="auto" w:w="0"/>
        <w:jc w:val="center"/>
        <w:tblLayout w:type="fixed"/>
        <w:tblLook w:firstColumn="1" w:firstRow="1" w:lastColumn="0" w:lastRow="0" w:noHBand="0" w:noVBand="1" w:val="04A0"/>
      </w:tblPr>
      <w:tblGrid>
        <w:gridCol w:w="2091"/>
        <w:gridCol w:w="2091"/>
        <w:gridCol w:w="2091"/>
        <w:gridCol w:w="2091"/>
        <w:gridCol w:w="2091"/>
      </w:tblGrid>
      <w:tr>
        <w:tc>
          <w:tcPr>
            <w:tcW w:type="dxa" w:w="503"/>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w:t>
            </w:r>
          </w:p>
        </w:tc>
        <w:tc>
          <w:tcPr>
            <w:tcW w:type="dxa" w:w="1944"/>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Risk item</w:t>
            </w:r>
          </w:p>
        </w:tc>
        <w:tc>
          <w:tcPr>
            <w:tcW w:type="dxa" w:w="3960"/>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Where it may be hiding + consequence</w:t>
            </w:r>
          </w:p>
        </w:tc>
        <w:tc>
          <w:tcPr>
            <w:tcW w:type="dxa" w:w="1800"/>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Owner / due / status</w:t>
            </w:r>
          </w:p>
        </w:tc>
        <w:tc>
          <w:tcPr>
            <w:tcW w:type="dxa" w:w="2232"/>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Mitigation</w:t>
            </w:r>
          </w:p>
        </w:tc>
      </w:tr>
      <w:tr>
        <w:tc>
          <w:tcPr>
            <w:tcW w:type="dxa" w:w="503"/>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1</w:t>
            </w:r>
          </w:p>
        </w:tc>
        <w:tc>
          <w:tcPr>
            <w:tcW w:type="dxa" w:w="1944"/>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Survey / site geometry discrepancy</w:t>
            </w:r>
          </w:p>
        </w:tc>
        <w:tc>
          <w:tcPr>
            <w:tcW w:type="dxa" w:w="3960"/>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Faulty or unverified survey; building location, setback, grades, or foundation relationship is uncertain.</w:t>
              <w:br/>
              <w:t>Consequence: Potential redesign, field conflict, foundation change, delay.</w:t>
            </w:r>
          </w:p>
        </w:tc>
        <w:tc>
          <w:tcPr>
            <w:tcW w:type="dxa" w:w="1800"/>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Owner: ________</w:t>
              <w:br/>
              <w:t>Due: ________</w:t>
              <w:br/>
              <w:t>Status: ________</w:t>
            </w:r>
          </w:p>
        </w:tc>
        <w:tc>
          <w:tcPr>
            <w:tcW w:type="dxa" w:w="2232"/>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Mitigation / trade rule:</w:t>
              <w:br/>
              <w:t>____________________</w:t>
            </w:r>
          </w:p>
        </w:tc>
      </w:tr>
      <w:tr>
        <w:tc>
          <w:tcPr>
            <w:tcW w:type="dxa" w:w="503"/>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2</w:t>
            </w:r>
          </w:p>
        </w:tc>
        <w:tc>
          <w:tcPr>
            <w:tcW w:type="dxa" w:w="1944"/>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Civil / utility scope gap</w:t>
            </w:r>
          </w:p>
        </w:tc>
        <w:tc>
          <w:tcPr>
            <w:tcW w:type="dxa" w:w="3960"/>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Stormwater, frontage, utility relocation, service capacity, or easement scope not fully defined.</w:t>
              <w:br/>
              <w:t>Consequence: Unpriced site work or AHJ-driven scope after GMP.</w:t>
            </w:r>
          </w:p>
        </w:tc>
        <w:tc>
          <w:tcPr>
            <w:tcW w:type="dxa" w:w="1800"/>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Owner: ________</w:t>
              <w:br/>
              <w:t>Due: ________</w:t>
              <w:br/>
              <w:t>Status: ________</w:t>
            </w:r>
          </w:p>
        </w:tc>
        <w:tc>
          <w:tcPr>
            <w:tcW w:type="dxa" w:w="2232"/>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Mitigation / trade rule:</w:t>
              <w:br/>
              <w:t>____________________</w:t>
            </w:r>
          </w:p>
        </w:tc>
      </w:tr>
      <w:tr>
        <w:tc>
          <w:tcPr>
            <w:tcW w:type="dxa" w:w="503"/>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3</w:t>
            </w:r>
          </w:p>
        </w:tc>
        <w:tc>
          <w:tcPr>
            <w:tcW w:type="dxa" w:w="1944"/>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Structural transfer / podium assumption</w:t>
            </w:r>
          </w:p>
        </w:tc>
        <w:tc>
          <w:tcPr>
            <w:tcW w:type="dxa" w:w="3960"/>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Transfer condition, grid, opening, or podium interface priced from incomplete coordination.</w:t>
              <w:br/>
              <w:t>Consequence: Major structural premium or constructability issue.</w:t>
            </w:r>
          </w:p>
        </w:tc>
        <w:tc>
          <w:tcPr>
            <w:tcW w:type="dxa" w:w="1800"/>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Owner: ________</w:t>
              <w:br/>
              <w:t>Due: ________</w:t>
              <w:br/>
              <w:t>Status: ________</w:t>
            </w:r>
          </w:p>
        </w:tc>
        <w:tc>
          <w:tcPr>
            <w:tcW w:type="dxa" w:w="2232"/>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Mitigation / trade rule:</w:t>
              <w:br/>
              <w:t>____________________</w:t>
            </w:r>
          </w:p>
        </w:tc>
      </w:tr>
    </w:tbl>
    <w:p>
      <w:pPr>
        <w:spacing w:after="80"/>
      </w:pPr>
    </w:p>
    <w:p>
      <w:r>
        <w:br w:type="page"/>
      </w:r>
    </w:p>
    <w:tbl>
      <w:tblPr>
        <w:tblW w:type="auto" w:w="0"/>
        <w:jc w:val="center"/>
        <w:tblLayout w:type="fixed"/>
        <w:tblLook w:firstColumn="1" w:firstRow="1" w:lastColumn="0" w:lastRow="0" w:noHBand="0" w:noVBand="1" w:val="04A0"/>
      </w:tblPr>
      <w:tblGrid>
        <w:gridCol w:w="2091"/>
        <w:gridCol w:w="2091"/>
        <w:gridCol w:w="2091"/>
        <w:gridCol w:w="2091"/>
        <w:gridCol w:w="2091"/>
      </w:tblGrid>
      <w:tr>
        <w:tc>
          <w:tcPr>
            <w:tcW w:type="dxa" w:w="503"/>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w:t>
            </w:r>
          </w:p>
        </w:tc>
        <w:tc>
          <w:tcPr>
            <w:tcW w:type="dxa" w:w="1944"/>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Risk item</w:t>
            </w:r>
          </w:p>
        </w:tc>
        <w:tc>
          <w:tcPr>
            <w:tcW w:type="dxa" w:w="3960"/>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Where it may be hiding + consequence</w:t>
            </w:r>
          </w:p>
        </w:tc>
        <w:tc>
          <w:tcPr>
            <w:tcW w:type="dxa" w:w="1800"/>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Owner / due / status</w:t>
            </w:r>
          </w:p>
        </w:tc>
        <w:tc>
          <w:tcPr>
            <w:tcW w:type="dxa" w:w="2232"/>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Mitigation</w:t>
            </w:r>
          </w:p>
        </w:tc>
      </w:tr>
      <w:tr>
        <w:tc>
          <w:tcPr>
            <w:tcW w:type="dxa" w:w="503"/>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4</w:t>
            </w:r>
          </w:p>
        </w:tc>
        <w:tc>
          <w:tcPr>
            <w:tcW w:type="dxa" w:w="1944"/>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MEP service / equipment assumption</w:t>
            </w:r>
          </w:p>
        </w:tc>
        <w:tc>
          <w:tcPr>
            <w:tcW w:type="dxa" w:w="3960"/>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Service size, equipment room, shaft, riser, routing, or long-lead equipment not fully reconciled.</w:t>
              <w:br/>
              <w:t>Consequence: Cost increase, area impact, or schedule exposure.</w:t>
            </w:r>
          </w:p>
        </w:tc>
        <w:tc>
          <w:tcPr>
            <w:tcW w:type="dxa" w:w="1800"/>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Owner: ________</w:t>
              <w:br/>
              <w:t>Due: ________</w:t>
              <w:br/>
              <w:t>Status: ________</w:t>
            </w:r>
          </w:p>
        </w:tc>
        <w:tc>
          <w:tcPr>
            <w:tcW w:type="dxa" w:w="2232"/>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Mitigation / trade rule:</w:t>
              <w:br/>
              <w:t>____________________</w:t>
            </w:r>
          </w:p>
        </w:tc>
      </w:tr>
      <w:tr>
        <w:tc>
          <w:tcPr>
            <w:tcW w:type="dxa" w:w="503"/>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5</w:t>
            </w:r>
          </w:p>
        </w:tc>
        <w:tc>
          <w:tcPr>
            <w:tcW w:type="dxa" w:w="1944"/>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Allowance carrying real scope</w:t>
            </w:r>
          </w:p>
        </w:tc>
        <w:tc>
          <w:tcPr>
            <w:tcW w:type="dxa" w:w="3960"/>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Allowance covers undefined scope instead of minor quantity/specification uncertainty.</w:t>
              <w:br/>
              <w:t>Consequence: False budget certainty; later owner cost.</w:t>
            </w:r>
          </w:p>
        </w:tc>
        <w:tc>
          <w:tcPr>
            <w:tcW w:type="dxa" w:w="1800"/>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Owner: ________</w:t>
              <w:br/>
              <w:t>Due: ________</w:t>
              <w:br/>
              <w:t>Status: ________</w:t>
            </w:r>
          </w:p>
        </w:tc>
        <w:tc>
          <w:tcPr>
            <w:tcW w:type="dxa" w:w="2232"/>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Mitigation / trade rule:</w:t>
              <w:br/>
              <w:t>____________________</w:t>
            </w:r>
          </w:p>
        </w:tc>
      </w:tr>
      <w:tr>
        <w:tc>
          <w:tcPr>
            <w:tcW w:type="dxa" w:w="503"/>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6</w:t>
            </w:r>
          </w:p>
        </w:tc>
        <w:tc>
          <w:tcPr>
            <w:tcW w:type="dxa" w:w="1944"/>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Exclusion that may be required</w:t>
            </w:r>
          </w:p>
        </w:tc>
        <w:tc>
          <w:tcPr>
            <w:tcW w:type="dxa" w:w="3960"/>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Excluded scope may still be required by permit, AHJ, lender, utility, or operations need.</w:t>
              <w:br/>
              <w:t>Consequence: Future change order or delayed approval.</w:t>
            </w:r>
          </w:p>
        </w:tc>
        <w:tc>
          <w:tcPr>
            <w:tcW w:type="dxa" w:w="1800"/>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Owner: ________</w:t>
              <w:br/>
              <w:t>Due: ________</w:t>
              <w:br/>
              <w:t>Status: ________</w:t>
            </w:r>
          </w:p>
        </w:tc>
        <w:tc>
          <w:tcPr>
            <w:tcW w:type="dxa" w:w="2232"/>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Mitigation / trade rule:</w:t>
              <w:br/>
              <w:t>____________________</w:t>
            </w:r>
          </w:p>
        </w:tc>
      </w:tr>
    </w:tbl>
    <w:p>
      <w:pPr>
        <w:spacing w:after="80"/>
      </w:pPr>
    </w:p>
    <w:p>
      <w:pPr>
        <w:spacing w:before="140" w:after="80"/>
      </w:pPr>
      <w:r>
        <w:rPr>
          <w:rFonts w:ascii="Aptos Display" w:hAnsi="Aptos Display"/>
          <w:b/>
          <w:color w:val="1F1F1F"/>
          <w:sz w:val="25"/>
        </w:rPr>
        <w:t>Risk status legend</w:t>
      </w:r>
    </w:p>
    <w:tbl>
      <w:tblPr>
        <w:tblW w:type="auto" w:w="0"/>
        <w:jc w:val="center"/>
        <w:tblLayout w:type="fixed"/>
        <w:tblLook w:firstColumn="1" w:firstRow="1" w:lastColumn="0" w:lastRow="0" w:noHBand="0" w:noVBand="1" w:val="04A0"/>
      </w:tblPr>
      <w:tblGrid>
        <w:gridCol w:w="5227"/>
        <w:gridCol w:w="5227"/>
      </w:tblGrid>
      <w:tr>
        <w:tc>
          <w:tcPr>
            <w:tcW w:type="dxa" w:w="2088"/>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Status</w:t>
            </w:r>
          </w:p>
        </w:tc>
        <w:tc>
          <w:tcPr>
            <w:tcW w:type="dxa" w:w="8352"/>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Meaning</w:t>
            </w:r>
          </w:p>
        </w:tc>
      </w:tr>
      <w:tr>
        <w:tc>
          <w:tcPr>
            <w:tcW w:type="dxa" w:w="2088"/>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Open</w:t>
            </w:r>
          </w:p>
        </w:tc>
        <w:tc>
          <w:tcPr>
            <w:tcW w:type="dxa" w:w="8352"/>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Risk is known but not resolved or priced.</w:t>
            </w:r>
          </w:p>
        </w:tc>
      </w:tr>
      <w:tr>
        <w:tc>
          <w:tcPr>
            <w:tcW w:type="dxa" w:w="2088"/>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Priced</w:t>
            </w:r>
          </w:p>
        </w:tc>
        <w:tc>
          <w:tcPr>
            <w:tcW w:type="dxa" w:w="8352"/>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Risk is carried in the GMP, allowance, contingency, or alternate.</w:t>
            </w:r>
          </w:p>
        </w:tc>
      </w:tr>
      <w:tr>
        <w:tc>
          <w:tcPr>
            <w:tcW w:type="dxa" w:w="2088"/>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Excluded knowingly</w:t>
            </w:r>
          </w:p>
        </w:tc>
        <w:tc>
          <w:tcPr>
            <w:tcW w:type="dxa" w:w="8352"/>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Owner understands the exclusion and accepts how it will be handled later.</w:t>
            </w:r>
          </w:p>
        </w:tc>
      </w:tr>
      <w:tr>
        <w:tc>
          <w:tcPr>
            <w:tcW w:type="dxa" w:w="2088"/>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Resolved</w:t>
            </w:r>
          </w:p>
        </w:tc>
        <w:tc>
          <w:tcPr>
            <w:tcW w:type="dxa" w:w="8352"/>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Information was clarified and the risk no longer materially affects the GMP.</w:t>
            </w:r>
          </w:p>
        </w:tc>
      </w:tr>
    </w:tbl>
    <w:p>
      <w:pPr>
        <w:spacing w:after="80"/>
      </w:pPr>
    </w:p>
    <w:p>
      <w:pPr>
        <w:spacing w:before="200" w:after="80"/>
      </w:pPr>
      <w:r>
        <w:rPr>
          <w:rFonts w:ascii="Aptos Display" w:hAnsi="Aptos Display"/>
          <w:b/>
          <w:color w:val="9E1B1E"/>
          <w:sz w:val="32"/>
        </w:rPr>
        <w:t>Part 3 — Trade Rules Before Accepting the GMP</w:t>
      </w:r>
    </w:p>
    <w:p>
      <w:pPr>
        <w:spacing w:before="0" w:after="120" w:line="259" w:lineRule="auto"/>
      </w:pPr>
      <w:r>
        <w:rPr>
          <w:rFonts w:ascii="Aptos" w:hAnsi="Aptos"/>
          <w:b w:val="0"/>
          <w:i w:val="0"/>
          <w:color w:val="1F1F1F"/>
          <w:sz w:val="21"/>
        </w:rPr>
        <w:t>Use these rules to decide whether a risk can remain in the GMP package or must be resolved before the price is relied on.</w:t>
      </w:r>
    </w:p>
    <w:tbl>
      <w:tblPr>
        <w:tblW w:type="auto" w:w="0"/>
        <w:jc w:val="center"/>
        <w:tblLayout w:type="fixed"/>
        <w:tblLook w:firstColumn="1" w:firstRow="1" w:lastColumn="0" w:lastRow="0" w:noHBand="0" w:noVBand="1" w:val="04A0"/>
      </w:tblPr>
      <w:tblGrid>
        <w:gridCol w:w="5227"/>
        <w:gridCol w:w="5227"/>
      </w:tblGrid>
      <w:tr>
        <w:tc>
          <w:tcPr>
            <w:tcW w:type="dxa" w:w="2951"/>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Condition</w:t>
            </w:r>
          </w:p>
        </w:tc>
        <w:tc>
          <w:tcPr>
            <w:tcW w:type="dxa" w:w="7488"/>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Trade rule</w:t>
            </w:r>
          </w:p>
        </w:tc>
      </w:tr>
      <w:tr>
        <w:tc>
          <w:tcPr>
            <w:tcW w:type="dxa" w:w="2951"/>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If the drawings conflict...</w:t>
            </w:r>
          </w:p>
        </w:tc>
        <w:tc>
          <w:tcPr>
            <w:tcW w:type="dxa" w:w="7488"/>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Do not let the contractor price both interpretations silently. Select the basis of pricing or carry a visible risk.</w:t>
            </w:r>
          </w:p>
        </w:tc>
      </w:tr>
      <w:tr>
        <w:tc>
          <w:tcPr>
            <w:tcW w:type="dxa" w:w="2951"/>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If an allowance carries major scope...</w:t>
            </w:r>
          </w:p>
        </w:tc>
        <w:tc>
          <w:tcPr>
            <w:tcW w:type="dxa" w:w="7488"/>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Do not treat it as budget certainty. Define the scope, set a range, or mark it as a pricing risk.</w:t>
            </w:r>
          </w:p>
        </w:tc>
      </w:tr>
      <w:tr>
        <w:tc>
          <w:tcPr>
            <w:tcW w:type="dxa" w:w="2951"/>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If an exclusion may be required...</w:t>
            </w:r>
          </w:p>
        </w:tc>
        <w:tc>
          <w:tcPr>
            <w:tcW w:type="dxa" w:w="7488"/>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Name who pays if it returns and whether it must be resolved before acceptance.</w:t>
            </w:r>
          </w:p>
        </w:tc>
      </w:tr>
      <w:tr>
        <w:tc>
          <w:tcPr>
            <w:tcW w:type="dxa" w:w="2951"/>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If site information is unreliable...</w:t>
            </w:r>
          </w:p>
        </w:tc>
        <w:tc>
          <w:tcPr>
            <w:tcW w:type="dxa" w:w="7488"/>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Price with a risk register only if the impact range is visible and acceptable.</w:t>
            </w:r>
          </w:p>
        </w:tc>
      </w:tr>
      <w:tr>
        <w:tc>
          <w:tcPr>
            <w:tcW w:type="dxa" w:w="2951"/>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If the change-order pathway is obvious...</w:t>
            </w:r>
          </w:p>
        </w:tc>
        <w:tc>
          <w:tcPr>
            <w:tcW w:type="dxa" w:w="7488"/>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Do not wait for construction. Decide whether to price, mitigate, redesign, or accept the exposure.</w:t>
            </w:r>
          </w:p>
        </w:tc>
      </w:tr>
    </w:tbl>
    <w:p>
      <w:pPr>
        <w:spacing w:after="80"/>
      </w:pPr>
    </w:p>
    <w:p>
      <w:pPr>
        <w:spacing w:before="200" w:after="80"/>
      </w:pPr>
      <w:r>
        <w:rPr>
          <w:rFonts w:ascii="Aptos Display" w:hAnsi="Aptos Display"/>
          <w:b/>
          <w:color w:val="9E1B1E"/>
          <w:sz w:val="32"/>
        </w:rPr>
        <w:t>45-minute GMP scope confidence meeting</w:t>
      </w:r>
    </w:p>
    <w:tbl>
      <w:tblPr>
        <w:tblW w:type="auto" w:w="0"/>
        <w:jc w:val="center"/>
        <w:tblLayout w:type="fixed"/>
        <w:tblLook w:firstColumn="1" w:firstRow="1" w:lastColumn="0" w:lastRow="0" w:noHBand="0" w:noVBand="1" w:val="04A0"/>
      </w:tblPr>
      <w:tblGrid>
        <w:gridCol w:w="5227"/>
        <w:gridCol w:w="5227"/>
      </w:tblGrid>
      <w:tr>
        <w:tc>
          <w:tcPr>
            <w:tcW w:type="dxa" w:w="1224"/>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Time</w:t>
            </w:r>
          </w:p>
        </w:tc>
        <w:tc>
          <w:tcPr>
            <w:tcW w:type="dxa" w:w="9216"/>
            <w:shd w:fill="9E1B1E"/>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tcMar>
              <w:top w:w="100" w:type="dxa"/>
              <w:start w:w="110" w:type="dxa"/>
              <w:bottom w:w="100" w:type="dxa"/>
              <w:end w:w="110" w:type="dxa"/>
            </w:tcMar>
          </w:tcPr>
          <w:p>
            <w:pPr>
              <w:spacing w:before="0" w:after="0" w:line="259" w:lineRule="auto"/>
              <w:jc w:val="center"/>
            </w:pPr>
            <w:r>
              <w:rPr>
                <w:rFonts w:ascii="Aptos" w:hAnsi="Aptos"/>
                <w:b/>
                <w:i w:val="0"/>
                <w:color w:val="FFFFFF"/>
                <w:sz w:val="18"/>
              </w:rPr>
              <w:t>Action</w:t>
            </w:r>
          </w:p>
        </w:tc>
      </w:tr>
      <w:tr>
        <w:tc>
          <w:tcPr>
            <w:tcW w:type="dxa" w:w="1224"/>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5 min</w:t>
            </w:r>
          </w:p>
        </w:tc>
        <w:tc>
          <w:tcPr>
            <w:tcW w:type="dxa" w:w="9216"/>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Confirm pricing milestone, GMP basis, and what drawings/specs/narratives the contractor used.</w:t>
            </w:r>
          </w:p>
        </w:tc>
      </w:tr>
      <w:tr>
        <w:tc>
          <w:tcPr>
            <w:tcW w:type="dxa" w:w="1224"/>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10 min</w:t>
            </w:r>
          </w:p>
        </w:tc>
        <w:tc>
          <w:tcPr>
            <w:tcW w:type="dxa" w:w="9216"/>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Review the five scope confidence tests and mark Ready / Risk / Not Ready.</w:t>
            </w:r>
          </w:p>
        </w:tc>
      </w:tr>
      <w:tr>
        <w:tc>
          <w:tcPr>
            <w:tcW w:type="dxa" w:w="1224"/>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10 min</w:t>
            </w:r>
          </w:p>
        </w:tc>
        <w:tc>
          <w:tcPr>
            <w:tcW w:type="dxa" w:w="9216"/>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Review assumptions, allowances, exclusions, and alternates that could hide major scope.</w:t>
            </w:r>
          </w:p>
        </w:tc>
      </w:tr>
      <w:tr>
        <w:tc>
          <w:tcPr>
            <w:tcW w:type="dxa" w:w="1224"/>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10 min</w:t>
            </w:r>
          </w:p>
        </w:tc>
        <w:tc>
          <w:tcPr>
            <w:tcW w:type="dxa" w:w="9216"/>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Populate the Pricing Risk Register with owner, mitigation, and due date.</w:t>
            </w:r>
          </w:p>
        </w:tc>
      </w:tr>
      <w:tr>
        <w:tc>
          <w:tcPr>
            <w:tcW w:type="dxa" w:w="1224"/>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5 min</w:t>
            </w:r>
          </w:p>
        </w:tc>
        <w:tc>
          <w:tcPr>
            <w:tcW w:type="dxa" w:w="9216"/>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Make the gate decision: Ready to Price, Price With Known Risks, or Not Ready.</w:t>
            </w:r>
          </w:p>
        </w:tc>
      </w:tr>
      <w:tr>
        <w:tc>
          <w:tcPr>
            <w:tcW w:type="dxa" w:w="1224"/>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5 min</w:t>
            </w:r>
          </w:p>
        </w:tc>
        <w:tc>
          <w:tcPr>
            <w:tcW w:type="dxa" w:w="9216"/>
            <w:tcBorders>
              <w:top w:val="single" w:sz="6" w:space="0" w:color="D7D7D7"/>
              <w:left w:val="single" w:sz="6" w:space="0" w:color="D7D7D7"/>
              <w:bottom w:val="single" w:sz="6" w:space="0" w:color="D7D7D7"/>
              <w:right w:val="single" w:sz="6" w:space="0" w:color="D7D7D7"/>
              <w:insideH w:val="single" w:sz="6" w:space="0" w:color="D7D7D7"/>
              <w:insideV w:val="single" w:sz="6" w:space="0" w:color="D7D7D7"/>
            </w:tcBorders>
            <w:tcMar>
              <w:top w:w="100" w:type="dxa"/>
              <w:start w:w="110" w:type="dxa"/>
              <w:bottom w:w="100" w:type="dxa"/>
              <w:end w:w="110" w:type="dxa"/>
            </w:tcMar>
            <w:vAlign w:val="center"/>
          </w:tcPr>
          <w:p>
            <w:pPr>
              <w:spacing w:before="0" w:after="0" w:line="252" w:lineRule="auto"/>
            </w:pPr>
            <w:r>
              <w:rPr>
                <w:rFonts w:ascii="Aptos" w:hAnsi="Aptos"/>
                <w:b w:val="0"/>
                <w:i w:val="0"/>
                <w:color w:val="1F1F1F"/>
                <w:sz w:val="18"/>
              </w:rPr>
              <w:t>Publish the pricing source of truth and unresolved items before GMP acceptance.</w:t>
            </w:r>
          </w:p>
        </w:tc>
      </w:tr>
    </w:tbl>
    <w:p>
      <w:pPr>
        <w:spacing w:after="80"/>
      </w:pPr>
    </w:p>
    <w:sectPr w:rsidR="00FC693F" w:rsidRPr="0006063C" w:rsidSect="00034616">
      <w:headerReference w:type="default" r:id="rId9"/>
      <w:footerReference w:type="default" r:id="rId10"/>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66666"/>
        <w:sz w:val="17"/>
      </w:rPr>
      <w:t>Areté Architecture | Multifamily Predictability Series | MF-11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051560" cy="876300"/>
          <wp:docPr id="1" name="Picture 1"/>
          <wp:cNvGraphicFramePr>
            <a:graphicFrameLocks noChangeAspect="1"/>
          </wp:cNvGraphicFramePr>
          <a:graphic>
            <a:graphicData uri="http://schemas.openxmlformats.org/drawingml/2006/picture">
              <pic:pic>
                <pic:nvPicPr>
                  <pic:cNvPr id="0" name="04.1 2026_LOGO No bkgd.png"/>
                  <pic:cNvPicPr/>
                </pic:nvPicPr>
                <pic:blipFill>
                  <a:blip r:embed="rId1"/>
                  <a:stretch>
                    <a:fillRect/>
                  </a:stretch>
                </pic:blipFill>
                <pic:spPr>
                  <a:xfrm>
                    <a:off x="0" y="0"/>
                    <a:ext cx="1051560" cy="8763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6788F6059FF0C468EA9CBB4B267EED8" ma:contentTypeVersion="14" ma:contentTypeDescription="Create a new document." ma:contentTypeScope="" ma:versionID="0330f27917949ef3c75dc8b546faa1a8">
  <xsd:schema xmlns:xsd="http://www.w3.org/2001/XMLSchema" xmlns:xs="http://www.w3.org/2001/XMLSchema" xmlns:p="http://schemas.microsoft.com/office/2006/metadata/properties" xmlns:ns2="8c91b646-3776-4fce-85f8-fbc4da2bb054" xmlns:ns3="23b110a3-f11a-4f4b-8850-abbb1cf9765a" targetNamespace="http://schemas.microsoft.com/office/2006/metadata/properties" ma:root="true" ma:fieldsID="de3f7c4251e30a95c01ba4024274a219" ns2:_="" ns3:_="">
    <xsd:import namespace="8c91b646-3776-4fce-85f8-fbc4da2bb054"/>
    <xsd:import namespace="23b110a3-f11a-4f4b-8850-abbb1cf976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91b646-3776-4fce-85f8-fbc4da2bb0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4108bad-dcfa-41f7-a724-1c0fce7a3c3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b110a3-f11a-4f4b-8850-abbb1cf976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4ccfbd-af29-4f15-b8ad-2d7714a901e4}" ma:internalName="TaxCatchAll" ma:showField="CatchAllData" ma:web="23b110a3-f11a-4f4b-8850-abbb1cf976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c91b646-3776-4fce-85f8-fbc4da2bb054">
      <Terms xmlns="http://schemas.microsoft.com/office/infopath/2007/PartnerControls"/>
    </lcf76f155ced4ddcb4097134ff3c332f>
    <TaxCatchAll xmlns="23b110a3-f11a-4f4b-8850-abbb1cf9765a"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94D9A959-0EA2-4B7A-BAAF-1ECD830EE22D}"/>
</file>

<file path=customXml/itemProps3.xml><?xml version="1.0" encoding="utf-8"?>
<ds:datastoreItem xmlns:ds="http://schemas.openxmlformats.org/officeDocument/2006/customXml" ds:itemID="{5EA0F54F-3E07-4FDA-B2DA-A0B15CF89639}"/>
</file>

<file path=customXml/itemProps4.xml><?xml version="1.0" encoding="utf-8"?>
<ds:datastoreItem xmlns:ds="http://schemas.openxmlformats.org/officeDocument/2006/customXml" ds:itemID="{A2E65AED-596C-4382-8D55-1AAE887F8002}"/>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0x01010096788F6059FF0C468EA9CBB4B267EED8</vt:lpwstr>
  </property>
</Properties>
</file>