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123444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1 2026_LOGO No bkg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spacing w:after="80"/>
      </w:pPr>
      <w:r>
        <w:rPr>
          <w:b/>
          <w:color w:val="111111"/>
          <w:sz w:val="36"/>
        </w:rPr>
        <w:t>MF-08 — Amenity ROI Without Guesswork</w:t>
      </w:r>
    </w:p>
    <w:p>
      <w:pPr>
        <w:spacing w:after="60" w:line="252" w:lineRule="auto"/>
      </w:pPr>
      <w:r>
        <w:rPr>
          <w:color w:val="232323"/>
          <w:sz w:val="20"/>
        </w:rPr>
        <w:t>Tool: Amenity ROI Decision Framework + Amenity Accountability Register</w:t>
      </w:r>
    </w:p>
    <w:p>
      <w:pPr>
        <w:spacing w:after="60" w:line="252" w:lineRule="auto"/>
      </w:pPr>
      <w:r>
        <w:rPr>
          <w:color w:val="232323"/>
          <w:sz w:val="16"/>
        </w:rPr>
        <w:t>Default tool link: https://www.arete-architecture.design/mf-tools-trainings</w:t>
      </w:r>
    </w:p>
    <w:p>
      <w:pPr>
        <w:pStyle w:val="Heading2"/>
        <w:spacing w:before="120" w:after="60"/>
      </w:pPr>
      <w:r>
        <w:rPr>
          <w:b/>
          <w:color w:val="111111"/>
          <w:sz w:val="24"/>
        </w:rPr>
        <w:t>Purpose</w:t>
      </w:r>
    </w:p>
    <w:p>
      <w:pPr>
        <w:spacing w:after="60" w:line="252" w:lineRule="auto"/>
      </w:pPr>
      <w:r>
        <w:rPr>
          <w:color w:val="232323"/>
          <w:sz w:val="18"/>
        </w:rPr>
        <w:t>Use this worksheet before committing amenity scope. It helps the team decide what to build, right-size, defer, or skip by tying each amenity to a clear business job: rent premium, absorption, retention, operations, or market expectation.</w:t>
      </w:r>
    </w:p>
    <w:p>
      <w:pPr>
        <w:pStyle w:val="Heading2"/>
        <w:spacing w:before="120" w:after="60"/>
      </w:pPr>
      <w:r>
        <w:rPr>
          <w:b/>
          <w:color w:val="111111"/>
          <w:sz w:val="24"/>
        </w:rPr>
        <w:t>Simple Rule</w:t>
      </w:r>
    </w:p>
    <w:p>
      <w:pPr>
        <w:spacing w:after="60" w:line="252" w:lineRule="auto"/>
      </w:pPr>
      <w:r>
        <w:rPr>
          <w:color w:val="232323"/>
          <w:sz w:val="18"/>
        </w:rPr>
        <w:t>An amenity is not justified because it is common, attractive, or requested. It is justified when it has a clear job, evidence, a cost/space tradeoff, and an operating plan.</w:t>
      </w:r>
    </w:p>
    <w:p>
      <w:pPr>
        <w:pStyle w:val="Heading2"/>
        <w:spacing w:before="120" w:after="60"/>
      </w:pPr>
      <w:r>
        <w:rPr>
          <w:b/>
          <w:color w:val="111111"/>
          <w:sz w:val="24"/>
        </w:rPr>
        <w:t>A) Amenity Jobs — choose the primary job before scoring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4608"/>
        <w:gridCol w:w="3456"/>
        <w:gridCol w:w="3312"/>
      </w:tblGrid>
      <w:tr>
        <w:tc>
          <w:tcPr>
            <w:tcW w:type="dxa" w:w="3636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Amenity Job</w:t>
            </w:r>
          </w:p>
        </w:tc>
        <w:tc>
          <w:tcPr>
            <w:tcW w:type="dxa" w:w="3636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Plain-language question</w:t>
            </w:r>
          </w:p>
        </w:tc>
        <w:tc>
          <w:tcPr>
            <w:tcW w:type="dxa" w:w="3636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Evidence to look for</w:t>
            </w:r>
          </w:p>
        </w:tc>
        <w:tc>
          <w:tcPr>
            <w:tcW w:type="dxa" w:w="3636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Common risk</w:t>
            </w:r>
          </w:p>
        </w:tc>
      </w:tr>
      <w:tr>
        <w:tc>
          <w:tcPr>
            <w:tcW w:type="dxa" w:w="3024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Rent premium</w:t>
            </w:r>
          </w:p>
        </w:tc>
        <w:tc>
          <w:tcPr>
            <w:tcW w:type="dxa" w:w="4608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Will this support higher achievable rent?</w:t>
            </w:r>
          </w:p>
        </w:tc>
        <w:tc>
          <w:tcPr>
            <w:tcW w:type="dxa" w:w="345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Comps, leasing feedback, pricing study</w:t>
            </w:r>
          </w:p>
        </w:tc>
        <w:tc>
          <w:tcPr>
            <w:tcW w:type="dxa" w:w="3312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Premium is assumed but not proven</w:t>
            </w:r>
          </w:p>
        </w:tc>
      </w:tr>
      <w:tr>
        <w:tc>
          <w:tcPr>
            <w:tcW w:type="dxa" w:w="3024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Absorption</w:t>
            </w:r>
          </w:p>
        </w:tc>
        <w:tc>
          <w:tcPr>
            <w:tcW w:type="dxa" w:w="4608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Will this help units lease faster?</w:t>
            </w:r>
          </w:p>
        </w:tc>
        <w:tc>
          <w:tcPr>
            <w:tcW w:type="dxa" w:w="345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Comp set performance, prospect objections</w:t>
            </w:r>
          </w:p>
        </w:tc>
        <w:tc>
          <w:tcPr>
            <w:tcW w:type="dxa" w:w="3312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Builds buzz but not conversion</w:t>
            </w:r>
          </w:p>
        </w:tc>
      </w:tr>
      <w:tr>
        <w:tc>
          <w:tcPr>
            <w:tcW w:type="dxa" w:w="3024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Retention</w:t>
            </w:r>
          </w:p>
        </w:tc>
        <w:tc>
          <w:tcPr>
            <w:tcW w:type="dxa" w:w="4608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Will this reduce turnover or improve resident satisfaction?</w:t>
            </w:r>
          </w:p>
        </w:tc>
        <w:tc>
          <w:tcPr>
            <w:tcW w:type="dxa" w:w="345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Renewal drivers, resident profile, ops feedback</w:t>
            </w:r>
          </w:p>
        </w:tc>
        <w:tc>
          <w:tcPr>
            <w:tcW w:type="dxa" w:w="3312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Good idea but weak renewal impact</w:t>
            </w:r>
          </w:p>
        </w:tc>
      </w:tr>
      <w:tr>
        <w:tc>
          <w:tcPr>
            <w:tcW w:type="dxa" w:w="3024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Operations</w:t>
            </w:r>
          </w:p>
        </w:tc>
        <w:tc>
          <w:tcPr>
            <w:tcW w:type="dxa" w:w="4608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Will this reduce friction, staffing load, security risk, or maintenance burden?</w:t>
            </w:r>
          </w:p>
        </w:tc>
        <w:tc>
          <w:tcPr>
            <w:tcW w:type="dxa" w:w="345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Property manager input, staffing model, maintenance plan</w:t>
            </w:r>
          </w:p>
        </w:tc>
        <w:tc>
          <w:tcPr>
            <w:tcW w:type="dxa" w:w="3312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Creates more operating burden</w:t>
            </w:r>
          </w:p>
        </w:tc>
      </w:tr>
      <w:tr>
        <w:tc>
          <w:tcPr>
            <w:tcW w:type="dxa" w:w="3024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Market expectation</w:t>
            </w:r>
          </w:p>
        </w:tc>
        <w:tc>
          <w:tcPr>
            <w:tcW w:type="dxa" w:w="4608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Is this table stakes for the renter profile and comp set?</w:t>
            </w:r>
          </w:p>
        </w:tc>
        <w:tc>
          <w:tcPr>
            <w:tcW w:type="dxa" w:w="345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Comparable properties, leasing expectations</w:t>
            </w:r>
          </w:p>
        </w:tc>
        <w:tc>
          <w:tcPr>
            <w:tcW w:type="dxa" w:w="3312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Overbuilds beyond market need</w:t>
            </w:r>
          </w:p>
        </w:tc>
      </w:tr>
    </w:tbl>
    <w:p>
      <w:r>
        <w:br w:type="page"/>
      </w:r>
    </w:p>
    <w:p>
      <w:pPr>
        <w:pStyle w:val="Heading1"/>
        <w:spacing w:after="80"/>
      </w:pPr>
      <w:r>
        <w:rPr>
          <w:b/>
          <w:color w:val="111111"/>
          <w:sz w:val="36"/>
        </w:rPr>
        <w:t>Amenity ROI Decision Scorecard</w:t>
      </w:r>
    </w:p>
    <w:p>
      <w:pPr>
        <w:spacing w:after="60" w:line="252" w:lineRule="auto"/>
      </w:pPr>
      <w:r>
        <w:rPr>
          <w:color w:val="232323"/>
          <w:sz w:val="18"/>
        </w:rPr>
        <w:t>Score each amenity 1–5. Higher is better, except operating burden and risk items should be scored as “5 = low burden / low risk.” Use the notes column to record evidence, assumptions, and tradeoffs.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Amenity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Primary job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Demand / comp evidence (1–5)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Revenue / absorption / retention impact (1–5)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Space efficiency / opportunity cost (1–5)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Operating burden + risk (1–5)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Decision: Build / Right-size / Defer / Skip</w:t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</w:tbl>
    <w:p>
      <w:pPr>
        <w:pStyle w:val="Heading2"/>
        <w:spacing w:before="120" w:after="60"/>
      </w:pPr>
      <w:r>
        <w:rPr>
          <w:b/>
          <w:color w:val="111111"/>
          <w:sz w:val="24"/>
        </w:rPr>
        <w:t>Score Interpretation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Result</w:t>
            </w:r>
          </w:p>
        </w:tc>
        <w:tc>
          <w:tcPr>
            <w:tcW w:type="dxa" w:w="3636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Meaning</w:t>
            </w:r>
          </w:p>
        </w:tc>
        <w:tc>
          <w:tcPr>
            <w:tcW w:type="dxa" w:w="3636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Default decision</w:t>
            </w:r>
          </w:p>
        </w:tc>
        <w:tc>
          <w:tcPr>
            <w:tcW w:type="dxa" w:w="3636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5"/>
              </w:rPr>
            </w:r>
            <w:r>
              <w:rPr>
                <w:b/>
                <w:color w:val="111111"/>
                <w:sz w:val="15"/>
              </w:rPr>
              <w:t>Action</w:t>
            </w:r>
          </w:p>
        </w:tc>
      </w:tr>
      <w:tr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Strong evidence + strong impact + manageable burden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Amenity supports the underwriting and the operations plan.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Build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Define size, location, budget, and ops owner.</w:t>
            </w:r>
          </w:p>
        </w:tc>
      </w:tr>
      <w:tr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Good job, but oversized or too complex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Amenity may be valid, but current scope is inefficient.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Right-size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Reduce area, simplify, or phase.</w:t>
            </w:r>
          </w:p>
        </w:tc>
      </w:tr>
      <w:tr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Unclear evidence or timing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Potentially useful but not ready for commitment.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Defer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Hold shell/flexibility or revisit at a defined gate.</w:t>
            </w:r>
          </w:p>
        </w:tc>
      </w:tr>
      <w:tr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Weak evidence + high cost/burden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Amenity is preference-driven or overbuilt for the market.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Skip</w:t>
            </w:r>
          </w:p>
        </w:tc>
        <w:tc>
          <w:tcPr>
            <w:tcW w:type="dxa" w:w="3636"/>
            <w:vAlign w:val="top"/>
          </w:tcPr>
          <w:p>
            <w:pPr>
              <w:jc w:val="left"/>
            </w:pPr>
            <w:r>
              <w:rPr>
                <w:sz w:val="15"/>
              </w:rPr>
            </w:r>
            <w:r>
              <w:rPr>
                <w:b w:val="0"/>
                <w:color w:val="111111"/>
                <w:sz w:val="15"/>
              </w:rPr>
              <w:t>Reallocate to unit quality, operations, or contingency.</w:t>
            </w:r>
          </w:p>
        </w:tc>
      </w:tr>
    </w:tbl>
    <w:p>
      <w:r>
        <w:br w:type="page"/>
      </w:r>
    </w:p>
    <w:p>
      <w:pPr>
        <w:pStyle w:val="Heading1"/>
        <w:spacing w:after="80"/>
      </w:pPr>
      <w:r>
        <w:rPr>
          <w:b/>
          <w:color w:val="111111"/>
          <w:sz w:val="36"/>
        </w:rPr>
        <w:t>B) Amenity Accountability Register</w:t>
      </w:r>
    </w:p>
    <w:p>
      <w:pPr>
        <w:spacing w:after="60" w:line="252" w:lineRule="auto"/>
      </w:pPr>
      <w:r>
        <w:rPr>
          <w:color w:val="232323"/>
          <w:sz w:val="18"/>
        </w:rPr>
        <w:t>Use this register for amenities that are still being considered. Every item must have a job, evidence, tradeoff, operating owner, and decision gate.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Amenity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Primary job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Evidence / assumption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What it costs or displaces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Operating owner / burden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Decision gate</w:t>
            </w:r>
          </w:p>
        </w:tc>
        <w:tc>
          <w:tcPr>
            <w:tcW w:type="dxa" w:w="207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4"/>
              </w:rPr>
            </w:r>
            <w:r>
              <w:rPr>
                <w:b/>
                <w:color w:val="111111"/>
                <w:sz w:val="14"/>
              </w:rPr>
              <w:t>Next action</w:t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  <w:tr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  <w:tc>
          <w:tcPr>
            <w:tcW w:type="dxa" w:w="2078"/>
            <w:vAlign w:val="top"/>
            <w:shd w:fill="FFF7CC"/>
          </w:tcPr>
          <w:p>
            <w:pPr>
              <w:jc w:val="left"/>
            </w:pPr>
            <w:r>
              <w:rPr>
                <w:sz w:val="14"/>
              </w:rPr>
            </w:r>
            <w:r>
              <w:rPr>
                <w:b w:val="0"/>
                <w:color w:val="111111"/>
                <w:sz w:val="14"/>
              </w:rPr>
            </w:r>
          </w:p>
        </w:tc>
      </w:tr>
    </w:tbl>
    <w:p>
      <w:pPr>
        <w:pStyle w:val="Heading2"/>
        <w:spacing w:before="120" w:after="60"/>
      </w:pPr>
      <w:r>
        <w:rPr>
          <w:b/>
          <w:color w:val="111111"/>
          <w:sz w:val="24"/>
        </w:rPr>
        <w:t>C) Decision Gates</w:t>
      </w:r>
    </w:p>
    <w:p>
      <w:pPr>
        <w:spacing w:after="40"/>
        <w:ind w:left="216"/>
      </w:pPr>
      <w:r>
        <w:rPr>
          <w:color w:val="232323"/>
          <w:sz w:val="18"/>
        </w:rPr>
        <w:t>☐ Concept gate: amenity has a clear primary job and comp evidence.</w:t>
      </w:r>
    </w:p>
    <w:p>
      <w:pPr>
        <w:spacing w:after="40"/>
        <w:ind w:left="216"/>
      </w:pPr>
      <w:r>
        <w:rPr>
          <w:color w:val="232323"/>
          <w:sz w:val="18"/>
        </w:rPr>
        <w:t>☐ SD gate: amenity has a target size, location, rough cost, and tradeoff.</w:t>
      </w:r>
    </w:p>
    <w:p>
      <w:pPr>
        <w:spacing w:after="40"/>
        <w:ind w:left="216"/>
      </w:pPr>
      <w:r>
        <w:rPr>
          <w:color w:val="232323"/>
          <w:sz w:val="18"/>
        </w:rPr>
        <w:t>☐ DD gate: amenity has an operating plan, maintenance burden, security considerations, and final scope.</w:t>
      </w:r>
    </w:p>
    <w:p>
      <w:pPr>
        <w:spacing w:after="40"/>
        <w:ind w:left="216"/>
      </w:pPr>
      <w:r>
        <w:rPr>
          <w:color w:val="232323"/>
          <w:sz w:val="18"/>
        </w:rPr>
        <w:t>☐ Budget gate: amenity survives design-to-budget without cutting higher-value unit or operations priorities.</w:t>
      </w:r>
    </w:p>
    <w:p>
      <w:r>
        <w:br w:type="page"/>
      </w:r>
    </w:p>
    <w:p>
      <w:pPr>
        <w:pStyle w:val="Heading1"/>
        <w:spacing w:after="80"/>
      </w:pPr>
      <w:r>
        <w:rPr>
          <w:b/>
          <w:color w:val="111111"/>
          <w:sz w:val="36"/>
        </w:rPr>
        <w:t>D) Amenity If/Then Rules</w:t>
      </w:r>
    </w:p>
    <w:p>
      <w:pPr>
        <w:spacing w:after="60" w:line="252" w:lineRule="auto"/>
      </w:pPr>
      <w:r>
        <w:rPr>
          <w:color w:val="232323"/>
          <w:sz w:val="18"/>
        </w:rPr>
        <w:t>Use these rules during option reviews and budget reviews. The goal is not to remove every amenity; the goal is to prevent amenities from becoming unowned scope, hidden operating burden, or yield loss.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48"/>
        <w:gridCol w:w="4848"/>
        <w:gridCol w:w="4848"/>
      </w:tblGrid>
      <w:tr>
        <w:tc>
          <w:tcPr>
            <w:tcW w:type="dxa" w:w="484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If...</w:t>
            </w:r>
          </w:p>
        </w:tc>
        <w:tc>
          <w:tcPr>
            <w:tcW w:type="dxa" w:w="484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Then...</w:t>
            </w:r>
          </w:p>
        </w:tc>
        <w:tc>
          <w:tcPr>
            <w:tcW w:type="dxa" w:w="4848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Why it matters</w:t>
            </w:r>
          </w:p>
        </w:tc>
      </w:tr>
      <w:tr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The amenity does not have a primary job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Do not advance it; choose the job or skip it.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Avoids preference-driven scope.</w:t>
            </w:r>
          </w:p>
        </w:tc>
      </w:tr>
      <w:tr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The amenity cannot show rent, absorption, retention, operations, or table-stakes evidence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Defer or right-size.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Avoids cost without underwriting value.</w:t>
            </w:r>
          </w:p>
        </w:tc>
      </w:tr>
      <w:tr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Amenity area grows beyond the target cap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Name what it displaces and require a trade rule.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Protects net-to-gross and yield.</w:t>
            </w:r>
          </w:p>
        </w:tc>
      </w:tr>
      <w:tr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Operations cannot staff, secure, clean, or maintain it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Right-size, simplify, or skip.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Protects long-term NOI and resident experience.</w:t>
            </w:r>
          </w:p>
        </w:tc>
      </w:tr>
      <w:tr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A “nice-to-have” amenity competes with unit quality or required infrastructure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Trade the amenity first.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Protects the product and predictability.</w:t>
            </w:r>
          </w:p>
        </w:tc>
      </w:tr>
      <w:tr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The amenity is needed but budget pressure is high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Phase it, shell it, or design flexibility for later.</w:t>
            </w:r>
          </w:p>
        </w:tc>
        <w:tc>
          <w:tcPr>
            <w:tcW w:type="dxa" w:w="4848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Preserves optionality without overcommitting.</w:t>
            </w:r>
          </w:p>
        </w:tc>
      </w:tr>
    </w:tbl>
    <w:p>
      <w:pPr>
        <w:pStyle w:val="Heading2"/>
        <w:spacing w:before="120" w:after="60"/>
      </w:pPr>
      <w:r>
        <w:rPr>
          <w:b/>
          <w:color w:val="111111"/>
          <w:sz w:val="24"/>
        </w:rPr>
        <w:t>E) 45-Minute Amenity ROI Workshop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272"/>
        <w:gridCol w:w="7272"/>
      </w:tblGrid>
      <w:tr>
        <w:tc>
          <w:tcPr>
            <w:tcW w:type="dxa" w:w="7272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Time</w:t>
            </w:r>
          </w:p>
        </w:tc>
        <w:tc>
          <w:tcPr>
            <w:tcW w:type="dxa" w:w="7272"/>
            <w:vAlign w:val="top"/>
            <w:shd w:fill="F3F5F7"/>
            <w:shd w:fill="F3F5F7"/>
          </w:tcPr>
          <w:p>
            <w:pPr>
              <w:jc w:val="left"/>
            </w:pPr>
            <w:r>
              <w:rPr>
                <w:b/>
                <w:sz w:val="16"/>
              </w:rPr>
            </w:r>
            <w:r>
              <w:rPr>
                <w:b/>
                <w:color w:val="111111"/>
                <w:sz w:val="16"/>
              </w:rPr>
              <w:t>Agenda item</w:t>
            </w:r>
          </w:p>
        </w:tc>
      </w:tr>
      <w:tr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/>
                <w:color w:val="111111"/>
                <w:sz w:val="16"/>
              </w:rPr>
              <w:t>5 min</w:t>
            </w:r>
          </w:p>
        </w:tc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Confirm renter profile, comp set, and leasing strategy.</w:t>
            </w:r>
          </w:p>
        </w:tc>
      </w:tr>
      <w:tr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/>
                <w:color w:val="111111"/>
                <w:sz w:val="16"/>
              </w:rPr>
              <w:t>10 min</w:t>
            </w:r>
          </w:p>
        </w:tc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List candidate amenities and choose the primary job for each.</w:t>
            </w:r>
          </w:p>
        </w:tc>
      </w:tr>
      <w:tr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/>
                <w:color w:val="111111"/>
                <w:sz w:val="16"/>
              </w:rPr>
              <w:t>15 min</w:t>
            </w:r>
          </w:p>
        </w:tc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Score amenities for evidence, impact, space efficiency, and operating burden.</w:t>
            </w:r>
          </w:p>
        </w:tc>
      </w:tr>
      <w:tr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/>
                <w:color w:val="111111"/>
                <w:sz w:val="16"/>
              </w:rPr>
              <w:t>10 min</w:t>
            </w:r>
          </w:p>
        </w:tc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Decide Build / Right-size / Defer / Skip and log trade rules.</w:t>
            </w:r>
          </w:p>
        </w:tc>
      </w:tr>
      <w:tr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/>
                <w:color w:val="111111"/>
                <w:sz w:val="16"/>
              </w:rPr>
              <w:t>5 min</w:t>
            </w:r>
          </w:p>
        </w:tc>
        <w:tc>
          <w:tcPr>
            <w:tcW w:type="dxa" w:w="7272"/>
            <w:vAlign w:val="top"/>
          </w:tcPr>
          <w:p>
            <w:pPr>
              <w:jc w:val="left"/>
            </w:pPr>
            <w:r>
              <w:rPr>
                <w:sz w:val="16"/>
              </w:rPr>
            </w:r>
            <w:r>
              <w:rPr>
                <w:b w:val="0"/>
                <w:color w:val="111111"/>
                <w:sz w:val="16"/>
              </w:rPr>
              <w:t>Assign owners and publish the Amenity Accountability Register.</w:t>
            </w:r>
          </w:p>
        </w:tc>
      </w:tr>
    </w:tbl>
    <w:p>
      <w:pPr>
        <w:spacing w:after="60" w:line="252" w:lineRule="auto"/>
      </w:pPr>
      <w:r>
        <w:rPr>
          <w:color w:val="232323"/>
          <w:sz w:val="17"/>
        </w:rPr>
        <w:t>Next episode: MF-09 — Design-to-Budget: How to Hold the Line Without Late-Stage Value Engineering.</w:t>
      </w:r>
    </w:p>
    <w:sectPr w:rsidR="00FC693F" w:rsidRPr="0006063C" w:rsidSect="00034616">
      <w:footerReference w:type="default" r:id="rId10"/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Arete Architecture • Multifamily tools: https://www.arete-architecture.design/mf-tools-trainings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88F6059FF0C468EA9CBB4B267EED8" ma:contentTypeVersion="14" ma:contentTypeDescription="Create a new document." ma:contentTypeScope="" ma:versionID="0330f27917949ef3c75dc8b546faa1a8">
  <xsd:schema xmlns:xsd="http://www.w3.org/2001/XMLSchema" xmlns:xs="http://www.w3.org/2001/XMLSchema" xmlns:p="http://schemas.microsoft.com/office/2006/metadata/properties" xmlns:ns2="8c91b646-3776-4fce-85f8-fbc4da2bb054" xmlns:ns3="23b110a3-f11a-4f4b-8850-abbb1cf9765a" targetNamespace="http://schemas.microsoft.com/office/2006/metadata/properties" ma:root="true" ma:fieldsID="de3f7c4251e30a95c01ba4024274a219" ns2:_="" ns3:_="">
    <xsd:import namespace="8c91b646-3776-4fce-85f8-fbc4da2bb054"/>
    <xsd:import namespace="23b110a3-f11a-4f4b-8850-abbb1cf97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1b646-3776-4fce-85f8-fbc4da2bb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108bad-dcfa-41f7-a724-1c0fce7a3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110a3-f11a-4f4b-8850-abbb1cf976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4ccfbd-af29-4f15-b8ad-2d7714a901e4}" ma:internalName="TaxCatchAll" ma:showField="CatchAllData" ma:web="23b110a3-f11a-4f4b-8850-abbb1cf97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91b646-3776-4fce-85f8-fbc4da2bb054">
      <Terms xmlns="http://schemas.microsoft.com/office/infopath/2007/PartnerControls"/>
    </lcf76f155ced4ddcb4097134ff3c332f>
    <TaxCatchAll xmlns="23b110a3-f11a-4f4b-8850-abbb1cf9765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1109ED-3001-448D-A05F-D3A97E43D0A4}"/>
</file>

<file path=customXml/itemProps3.xml><?xml version="1.0" encoding="utf-8"?>
<ds:datastoreItem xmlns:ds="http://schemas.openxmlformats.org/officeDocument/2006/customXml" ds:itemID="{F61E56BD-DAC6-463D-8591-B37619F96EFE}"/>
</file>

<file path=customXml/itemProps4.xml><?xml version="1.0" encoding="utf-8"?>
<ds:datastoreItem xmlns:ds="http://schemas.openxmlformats.org/officeDocument/2006/customXml" ds:itemID="{4BEA1537-0B2C-4068-A42E-F691EFAC50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0x01010096788F6059FF0C468EA9CBB4B267EED8</vt:lpwstr>
  </property>
</Properties>
</file>