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drawing>
          <wp:inline xmlns:a="http://schemas.openxmlformats.org/drawingml/2006/main" xmlns:pic="http://schemas.openxmlformats.org/drawingml/2006/picture">
            <wp:extent cx="1143000" cy="95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1 2026_LOGO No bkg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spacing w:after="80"/>
      </w:pPr>
      <w:r>
        <w:rPr>
          <w:b/>
          <w:color w:val="111111"/>
          <w:sz w:val="36"/>
        </w:rPr>
        <w:t>MF-09 — Design-to-Budget</w:t>
      </w:r>
    </w:p>
    <w:p>
      <w:pPr>
        <w:spacing w:after="60" w:line="252" w:lineRule="auto"/>
      </w:pPr>
      <w:r>
        <w:rPr>
          <w:color w:val="232323"/>
          <w:sz w:val="20"/>
        </w:rPr>
        <w:t>Tool: Design-to-Budget Control Worksheet + Budget Variance Register</w:t>
      </w:r>
    </w:p>
    <w:p>
      <w:pPr>
        <w:spacing w:after="60" w:line="252" w:lineRule="auto"/>
      </w:pPr>
      <w:r>
        <w:rPr>
          <w:color w:val="232323"/>
          <w:sz w:val="16"/>
        </w:rPr>
        <w:t>Default tool link: https://www.arete-architecture.design/mf-tools-trainings</w:t>
      </w:r>
    </w:p>
    <w:p>
      <w:pPr>
        <w:pStyle w:val="Heading2"/>
        <w:spacing w:before="100" w:after="40"/>
      </w:pPr>
      <w:r>
        <w:rPr>
          <w:b/>
          <w:color w:val="111111"/>
          <w:sz w:val="24"/>
        </w:rPr>
        <w:t>Purpose</w:t>
      </w:r>
    </w:p>
    <w:p>
      <w:pPr>
        <w:spacing w:after="60" w:line="252" w:lineRule="auto"/>
      </w:pPr>
      <w:r>
        <w:rPr>
          <w:color w:val="232323"/>
          <w:sz w:val="18"/>
        </w:rPr>
        <w:t>Use this worksheet at every major option, estimate, and design phase gate. It keeps budget as a live design constraint so the team can protect the pro forma without relying on late-stage value engineering.</w:t>
      </w:r>
    </w:p>
    <w:p>
      <w:pPr>
        <w:pStyle w:val="Heading2"/>
        <w:spacing w:before="100" w:after="40"/>
      </w:pPr>
      <w:r>
        <w:rPr>
          <w:b/>
          <w:color w:val="111111"/>
          <w:sz w:val="24"/>
        </w:rPr>
        <w:t>Simple Rule</w:t>
      </w:r>
    </w:p>
    <w:p>
      <w:pPr>
        <w:spacing w:after="60" w:line="252" w:lineRule="auto"/>
      </w:pPr>
      <w:r>
        <w:rPr>
          <w:color w:val="232323"/>
          <w:sz w:val="18"/>
        </w:rPr>
        <w:t>Design-to-budget means budget is managed while decisions are still flexible. Value engineering happens late when decisions are already expensive to unwind. The goal is not to cut; the goal is to choose, price, and trade early.</w:t>
      </w:r>
    </w:p>
    <w:p>
      <w:pPr>
        <w:pStyle w:val="Heading2"/>
        <w:spacing w:before="100" w:after="40"/>
      </w:pPr>
      <w:r>
        <w:rPr>
          <w:b/>
          <w:color w:val="111111"/>
          <w:sz w:val="24"/>
        </w:rPr>
        <w:t>A) Budget Baseline — define the scoreboard before reviewing design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57"/>
        <w:gridCol w:w="3657"/>
        <w:gridCol w:w="3657"/>
        <w:gridCol w:w="3657"/>
      </w:tblGrid>
      <w:tr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Baseline Item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Current target / assumption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Evidence / source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Owner / date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Hard-cost guardrail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$ __________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Estimate / underwriting / lender assumption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Contingency / design reserve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_____% or $ __________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Owner policy / risk profile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Escalation assumption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_____% through __________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Estimator / market data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Pricing status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Concept / SD / DD / GMP / Bid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Estimator / GC / cost consultant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Known exclusions / allowances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List items not fully priced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Estimate qualifications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Decision tolerance band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Green: +/- ___%  Yellow: ___%  Red: ___%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Owner / underwriting</w:t>
            </w:r>
          </w:p>
        </w:tc>
        <w:tc>
          <w:tcPr>
            <w:tcW w:type="dxa" w:w="3657"/>
            <w:vAlign w:val="top"/>
            <w:shd w:fill="FFF7CC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</w:r>
          </w:p>
        </w:tc>
      </w:tr>
    </w:tbl>
    <w:p>
      <w:pPr>
        <w:pStyle w:val="Heading2"/>
        <w:spacing w:before="100" w:after="40"/>
      </w:pPr>
      <w:r>
        <w:rPr>
          <w:b/>
          <w:color w:val="111111"/>
          <w:sz w:val="24"/>
        </w:rPr>
        <w:t>B) Major Cost Drivers — review before the team falls in love with an option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57"/>
        <w:gridCol w:w="3657"/>
        <w:gridCol w:w="3657"/>
        <w:gridCol w:w="3657"/>
      </w:tblGrid>
      <w:tr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Cost Driver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What to check early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Common budget risk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Trade idea before VE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Structure / typology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Podium, wrap, stacked flats, grid, transfers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Late structural change resets cost and schedule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Simplify geometry before cutting revenue drivers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Parking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Ratio, type, access, ramps, transitions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Parking solution drives structure and civil scope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Reduce optional scope before changing parking strategy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Envelope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Facade complexity, glazing, balconies, waterproofing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Small articulation adds repeated cost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Simplify repetition / details before cutting durability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MEP / utilities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Service capacity, shafts, equipment rooms, long-leads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Systems force area loss or upgrades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Coordinate early; carry explicit allowance if unknown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Site / civil / ROW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Stormwater, grading, frontage, access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Offsite work and civil permits add cost/time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Resolve red flags before advancing options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Amenities / BOH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Size, job, ops burden, displacement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Nice-to-have scope crowds out yield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  <w:t>Build / right-size / defer / skip</w:t>
            </w:r>
          </w:p>
        </w:tc>
      </w:tr>
    </w:tbl>
    <w:p>
      <w:r>
        <w:br w:type="page"/>
      </w:r>
    </w:p>
    <w:p>
      <w:pPr>
        <w:pStyle w:val="Heading1"/>
        <w:spacing w:after="80"/>
      </w:pPr>
      <w:r>
        <w:rPr>
          <w:b/>
          <w:color w:val="111111"/>
          <w:sz w:val="36"/>
        </w:rPr>
        <w:t>Design-to-Budget Option Review Scorecard</w:t>
      </w:r>
    </w:p>
    <w:p>
      <w:pPr>
        <w:spacing w:after="60" w:line="252" w:lineRule="auto"/>
      </w:pPr>
      <w:r>
        <w:rPr>
          <w:color w:val="232323"/>
          <w:sz w:val="18"/>
        </w:rPr>
        <w:t>Use this during option reviews. The goal is to catch budget drift while the team still has choices, not after design decisions have hardened.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29"/>
        <w:gridCol w:w="1829"/>
        <w:gridCol w:w="1829"/>
        <w:gridCol w:w="1829"/>
        <w:gridCol w:w="1829"/>
        <w:gridCol w:w="1829"/>
        <w:gridCol w:w="1829"/>
        <w:gridCol w:w="1829"/>
      </w:tblGrid>
      <w:tr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Option / scope item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Design intent / value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Budget impact: Low / Med / High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Evidence status: Priced / Allowance / Unknown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Revenue / ops / schedule value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Decision: Protect / Simplify / Right-size / Defer / Price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Trade rule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Owner / date</w:t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</w:tbl>
    <w:p>
      <w:pPr>
        <w:pStyle w:val="Heading2"/>
        <w:spacing w:before="100" w:after="40"/>
      </w:pPr>
      <w:r>
        <w:rPr>
          <w:b/>
          <w:color w:val="111111"/>
          <w:sz w:val="24"/>
        </w:rPr>
        <w:t>Decision Outcome Definitions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57"/>
        <w:gridCol w:w="3657"/>
        <w:gridCol w:w="3657"/>
        <w:gridCol w:w="3657"/>
      </w:tblGrid>
      <w:tr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Outcome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Meaning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Use when...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Next action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Protect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Keep the scope because it supports revenue, operations, compliance, durability, or schedule.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Cutting it would harm the outcome.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Name what gets traded instead.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Simplify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Keep the intent, reduce complexity.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Cost comes from geometry, details, transitions, or repetition.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Redesign for simpler execution.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Right-size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Keep the function, reduce scope or area.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The idea is valid but oversized.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Set a target size or cap.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Defer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Preserve optionality without committing full scope now.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Evidence or timing is not strong enough.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Shell, phase, or revisit at a gate.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Price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Do not approve until cost/schedule impact is known.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The item is not priced or has major uncertainty.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Assign estimator/GC action.</w:t>
            </w:r>
          </w:p>
        </w:tc>
      </w:tr>
    </w:tbl>
    <w:p>
      <w:r>
        <w:br w:type="page"/>
      </w:r>
    </w:p>
    <w:p>
      <w:pPr>
        <w:pStyle w:val="Heading1"/>
        <w:spacing w:after="80"/>
      </w:pPr>
      <w:r>
        <w:rPr>
          <w:b/>
          <w:color w:val="111111"/>
          <w:sz w:val="36"/>
        </w:rPr>
        <w:t>C) Budget Variance Register</w:t>
      </w:r>
    </w:p>
    <w:p>
      <w:pPr>
        <w:spacing w:after="60" w:line="252" w:lineRule="auto"/>
      </w:pPr>
      <w:r>
        <w:rPr>
          <w:color w:val="232323"/>
          <w:sz w:val="18"/>
        </w:rPr>
        <w:t>Use this register for any item that moves the budget, schedule, or value story. No variance should float without a cause, owner, trade rule, and next action.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29"/>
        <w:gridCol w:w="1829"/>
        <w:gridCol w:w="1829"/>
        <w:gridCol w:w="1829"/>
        <w:gridCol w:w="1829"/>
        <w:gridCol w:w="1829"/>
        <w:gridCol w:w="1829"/>
        <w:gridCol w:w="1829"/>
      </w:tblGrid>
      <w:tr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Variance item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Cause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Budget impact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Schedule impact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What it threatens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Decision owner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Trade rule / mitigation</w:t>
            </w:r>
          </w:p>
        </w:tc>
        <w:tc>
          <w:tcPr>
            <w:tcW w:type="dxa" w:w="1829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3"/>
              </w:rPr>
            </w:r>
            <w:r>
              <w:rPr>
                <w:b/>
                <w:color w:val="111111"/>
                <w:sz w:val="13"/>
              </w:rPr>
              <w:t>Due date</w:t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  <w:tr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  <w:tc>
          <w:tcPr>
            <w:tcW w:type="dxa" w:w="1829"/>
            <w:vAlign w:val="top"/>
            <w:shd w:fill="FFF7CC"/>
          </w:tcPr>
          <w:p>
            <w:pPr>
              <w:jc w:val="left"/>
            </w:pPr>
            <w:r>
              <w:rPr>
                <w:sz w:val="13"/>
              </w:rPr>
            </w:r>
            <w:r>
              <w:rPr>
                <w:b w:val="0"/>
                <w:color w:val="111111"/>
                <w:sz w:val="13"/>
              </w:rPr>
            </w:r>
          </w:p>
        </w:tc>
      </w:tr>
    </w:tbl>
    <w:p>
      <w:pPr>
        <w:pStyle w:val="Heading2"/>
        <w:spacing w:before="100" w:after="40"/>
      </w:pPr>
      <w:r>
        <w:rPr>
          <w:b/>
          <w:color w:val="111111"/>
          <w:sz w:val="24"/>
        </w:rPr>
        <w:t>D) Budget Gate Bands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57"/>
        <w:gridCol w:w="3657"/>
        <w:gridCol w:w="3657"/>
        <w:gridCol w:w="3657"/>
      </w:tblGrid>
      <w:tr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Band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Condition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Default action</w:t>
            </w:r>
          </w:p>
        </w:tc>
        <w:tc>
          <w:tcPr>
            <w:tcW w:type="dxa" w:w="365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Decision level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Green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Within agreed budget tolerance.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Document and continue.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Project team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Yellow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Approaching tolerance or driven by unpriced assumptions.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Price + schedule check; name trade rule.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Owner + architect + estimator</w:t>
            </w:r>
          </w:p>
        </w:tc>
      </w:tr>
      <w:tr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Red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Exceeds tolerance or threatens non-negotiable.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Pause; re-baseline or re-underwrite.</w:t>
            </w:r>
          </w:p>
        </w:tc>
        <w:tc>
          <w:tcPr>
            <w:tcW w:type="dxa" w:w="3657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Owner decision</w:t>
            </w:r>
          </w:p>
        </w:tc>
      </w:tr>
    </w:tbl>
    <w:p>
      <w:r>
        <w:br w:type="page"/>
      </w:r>
    </w:p>
    <w:p>
      <w:pPr>
        <w:pStyle w:val="Heading1"/>
        <w:spacing w:after="80"/>
      </w:pPr>
      <w:r>
        <w:rPr>
          <w:b/>
          <w:color w:val="111111"/>
          <w:sz w:val="36"/>
        </w:rPr>
        <w:t>E) Design-to-Budget If/Then Rules</w:t>
      </w:r>
    </w:p>
    <w:p>
      <w:pPr>
        <w:spacing w:after="60" w:line="252" w:lineRule="auto"/>
      </w:pPr>
      <w:r>
        <w:rPr>
          <w:color w:val="232323"/>
          <w:sz w:val="18"/>
        </w:rPr>
        <w:t>Use these rules during design reviews, estimate reviews, and owner decision meetings. The goal is to prevent late-stage value engineering by forcing price, trade, and ownership earlier.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7"/>
        <w:gridCol w:w="4877"/>
        <w:gridCol w:w="4877"/>
      </w:tblGrid>
      <w:tr>
        <w:tc>
          <w:tcPr>
            <w:tcW w:type="dxa" w:w="487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If...</w:t>
            </w:r>
          </w:p>
        </w:tc>
        <w:tc>
          <w:tcPr>
            <w:tcW w:type="dxa" w:w="487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Then...</w:t>
            </w:r>
          </w:p>
        </w:tc>
        <w:tc>
          <w:tcPr>
            <w:tcW w:type="dxa" w:w="4877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Why it matters</w:t>
            </w:r>
          </w:p>
        </w:tc>
      </w:tr>
      <w:tr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Scope is added without pricing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Do not approve it as baseline. Mark it “Price” and assign owner/date.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Prevents invisible budget drift.</w:t>
            </w:r>
          </w:p>
        </w:tc>
      </w:tr>
      <w:tr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Estimate moves into Yellow band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Run a price + schedule check and name trade rules.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Catches drift while options still exist.</w:t>
            </w:r>
          </w:p>
        </w:tc>
      </w:tr>
      <w:tr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Estimate moves into Red band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Pause and re-baseline the design, budget, or underwriting.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Prevents denial from becoming late VE.</w:t>
            </w:r>
          </w:p>
        </w:tc>
      </w:tr>
      <w:tr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A proposed cut touches revenue, operations, durability, or compliance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Do not call it VE. Treat it as a protected item and trade elsewhere.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Avoids value destruction.</w:t>
            </w:r>
          </w:p>
        </w:tc>
      </w:tr>
      <w:tr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A high-risk item is still unknown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Carry an explicit allowance/contingency or resolve it before advancing.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Makes risk visible instead of hidden.</w:t>
            </w:r>
          </w:p>
        </w:tc>
      </w:tr>
      <w:tr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A change affects multiple systems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Price it before approval and check schedule impact.</w:t>
            </w:r>
          </w:p>
        </w:tc>
        <w:tc>
          <w:tcPr>
            <w:tcW w:type="dxa" w:w="4877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Small changes can have second-order effects.</w:t>
            </w:r>
          </w:p>
        </w:tc>
      </w:tr>
    </w:tbl>
    <w:p>
      <w:pPr>
        <w:pStyle w:val="Heading2"/>
        <w:spacing w:before="100" w:after="40"/>
      </w:pPr>
      <w:r>
        <w:rPr>
          <w:b/>
          <w:color w:val="111111"/>
          <w:sz w:val="24"/>
        </w:rPr>
        <w:t>F) 60-Minute Design-to-Budget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315"/>
        <w:gridCol w:w="7315"/>
      </w:tblGrid>
      <w:tr>
        <w:tc>
          <w:tcPr>
            <w:tcW w:type="dxa" w:w="7315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Time</w:t>
            </w:r>
          </w:p>
        </w:tc>
        <w:tc>
          <w:tcPr>
            <w:tcW w:type="dxa" w:w="7315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Agenda item</w:t>
            </w:r>
          </w:p>
        </w:tc>
      </w:tr>
      <w:tr>
        <w:tc>
          <w:tcPr>
            <w:tcW w:type="dxa" w:w="7315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10 min</w:t>
            </w:r>
          </w:p>
        </w:tc>
        <w:tc>
          <w:tcPr>
            <w:tcW w:type="dxa" w:w="7315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Confirm budget baseline, contingency, exclusions, and pricing status.</w:t>
            </w:r>
          </w:p>
        </w:tc>
      </w:tr>
      <w:tr>
        <w:tc>
          <w:tcPr>
            <w:tcW w:type="dxa" w:w="7315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15 min</w:t>
            </w:r>
          </w:p>
        </w:tc>
        <w:tc>
          <w:tcPr>
            <w:tcW w:type="dxa" w:w="7315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Review major cost drivers and estimate movement since the last gate.</w:t>
            </w:r>
          </w:p>
        </w:tc>
      </w:tr>
      <w:tr>
        <w:tc>
          <w:tcPr>
            <w:tcW w:type="dxa" w:w="7315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15 min</w:t>
            </w:r>
          </w:p>
        </w:tc>
        <w:tc>
          <w:tcPr>
            <w:tcW w:type="dxa" w:w="7315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Classify scope items: Protect / Simplify / Right-size / Defer / Price.</w:t>
            </w:r>
          </w:p>
        </w:tc>
      </w:tr>
      <w:tr>
        <w:tc>
          <w:tcPr>
            <w:tcW w:type="dxa" w:w="7315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10 min</w:t>
            </w:r>
          </w:p>
        </w:tc>
        <w:tc>
          <w:tcPr>
            <w:tcW w:type="dxa" w:w="7315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Update Budget Variance Register with owners, trade rules, and due dates.</w:t>
            </w:r>
          </w:p>
        </w:tc>
      </w:tr>
      <w:tr>
        <w:tc>
          <w:tcPr>
            <w:tcW w:type="dxa" w:w="7315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10 min</w:t>
            </w:r>
          </w:p>
        </w:tc>
        <w:tc>
          <w:tcPr>
            <w:tcW w:type="dxa" w:w="7315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Confirm decisions, publish the budget source of truth, and tee up permit set readiness.</w:t>
            </w:r>
          </w:p>
        </w:tc>
      </w:tr>
    </w:tbl>
    <w:p>
      <w:pPr>
        <w:pStyle w:val="Heading2"/>
        <w:spacing w:before="100" w:after="40"/>
      </w:pPr>
      <w:r>
        <w:rPr>
          <w:b/>
          <w:color w:val="111111"/>
          <w:sz w:val="24"/>
        </w:rPr>
        <w:t>Next Episode Connection</w:t>
      </w:r>
    </w:p>
    <w:p>
      <w:pPr>
        <w:spacing w:after="60" w:line="252" w:lineRule="auto"/>
      </w:pPr>
      <w:r>
        <w:rPr>
          <w:color w:val="232323"/>
          <w:sz w:val="17"/>
        </w:rPr>
        <w:t>MF-10 — Permit Set Readiness: The Drawing Quality Threshold That Protects Schedule. Once the project is aligned to budget, the next risk is submitting a permit set before the drawings are coordinated enough to protect review time.</w:t>
      </w:r>
    </w:p>
    <w:sectPr w:rsidR="00FC693F" w:rsidRPr="0006063C" w:rsidSect="00034616"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88F6059FF0C468EA9CBB4B267EED8" ma:contentTypeVersion="14" ma:contentTypeDescription="Create a new document." ma:contentTypeScope="" ma:versionID="0330f27917949ef3c75dc8b546faa1a8">
  <xsd:schema xmlns:xsd="http://www.w3.org/2001/XMLSchema" xmlns:xs="http://www.w3.org/2001/XMLSchema" xmlns:p="http://schemas.microsoft.com/office/2006/metadata/properties" xmlns:ns2="8c91b646-3776-4fce-85f8-fbc4da2bb054" xmlns:ns3="23b110a3-f11a-4f4b-8850-abbb1cf9765a" targetNamespace="http://schemas.microsoft.com/office/2006/metadata/properties" ma:root="true" ma:fieldsID="de3f7c4251e30a95c01ba4024274a219" ns2:_="" ns3:_="">
    <xsd:import namespace="8c91b646-3776-4fce-85f8-fbc4da2bb054"/>
    <xsd:import namespace="23b110a3-f11a-4f4b-8850-abbb1cf97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1b646-3776-4fce-85f8-fbc4da2bb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108bad-dcfa-41f7-a724-1c0fce7a3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110a3-f11a-4f4b-8850-abbb1cf976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4ccfbd-af29-4f15-b8ad-2d7714a901e4}" ma:internalName="TaxCatchAll" ma:showField="CatchAllData" ma:web="23b110a3-f11a-4f4b-8850-abbb1cf97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91b646-3776-4fce-85f8-fbc4da2bb054">
      <Terms xmlns="http://schemas.microsoft.com/office/infopath/2007/PartnerControls"/>
    </lcf76f155ced4ddcb4097134ff3c332f>
    <TaxCatchAll xmlns="23b110a3-f11a-4f4b-8850-abbb1cf9765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262A39-B772-419D-B7F6-B2335D9DECF4}"/>
</file>

<file path=customXml/itemProps3.xml><?xml version="1.0" encoding="utf-8"?>
<ds:datastoreItem xmlns:ds="http://schemas.openxmlformats.org/officeDocument/2006/customXml" ds:itemID="{64E6BF7F-ED5F-4DFD-B962-F94524BAFDC6}"/>
</file>

<file path=customXml/itemProps4.xml><?xml version="1.0" encoding="utf-8"?>
<ds:datastoreItem xmlns:ds="http://schemas.openxmlformats.org/officeDocument/2006/customXml" ds:itemID="{494E27E6-324D-427E-8758-D4268BCDD2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0x01010096788F6059FF0C468EA9CBB4B267EED8</vt:lpwstr>
  </property>
</Properties>
</file>