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AreteNote"/>
      </w:pPr>
      <w:r>
        <w:t>Purpose: Use this worksheet before layout lock or construction phasing sign-off to test whether an occupied renovation can protect census, staffing reality, compliance, and resident/patient safety.</w:t>
      </w:r>
    </w:p>
    <w:p>
      <w:pPr>
        <w:pStyle w:val="AreteNote"/>
      </w:pPr>
      <w:r>
        <w:t>Rule: If a phase cannot preserve safe access, required services, clean/dirty control, staff coverage, and compliance continuity, do not lock the phase plan.</w:t>
      </w:r>
    </w:p>
    <w:p/>
    <w:p>
      <w:pPr>
        <w:pStyle w:val="AreteSmall"/>
      </w:pPr>
      <w:r>
        <w:t>Project: ____________________    Facility/Program: ____________________    Date: ____________</w:t>
      </w:r>
    </w:p>
    <w:p>
      <w:pPr>
        <w:pStyle w:val="AreteSmall"/>
      </w:pPr>
      <w:r>
        <w:t>Occupied?  Y / N    Target census to protect: ____________    Construction duration assumption: ____________</w:t>
      </w:r>
    </w:p>
    <w:p>
      <w:pPr>
        <w:pStyle w:val="AreteSmall"/>
      </w:pPr>
      <w:r>
        <w:t>Participants: Admin/ED ____________  DON/Clinical ____________  Facilities ____________  GC/CM ____________  Other ____________</w:t>
      </w:r>
    </w:p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val="clear" w:color="auto" w:fill="F3F4F6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b/>
                <w:color w:val="111827"/>
                <w:sz w:val="21"/>
              </w:rPr>
              <w:t>1) Continuity baseline: what must stay operational?</w:t>
            </w:r>
          </w:p>
          <w:p>
            <w:pPr>
              <w:pStyle w:val="AreteSmall"/>
            </w:pPr>
            <w:r>
              <w:t>Name the services and conditions that cannot fail while construction is active.</w:t>
            </w:r>
          </w:p>
        </w:tc>
      </w:tr>
    </w:tbl>
    <w:p/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448"/>
        <w:gridCol w:w="2520"/>
        <w:gridCol w:w="2088"/>
        <w:gridCol w:w="2592"/>
      </w:tblGrid>
      <w:tr>
        <w:tc>
          <w:tcPr>
            <w:tcW w:type="dxa" w:w="2592"/>
            <w:shd w:val="clear" w:color="auto" w:fill="E5E7EB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r>
              <w:rPr>
                <w:b/>
                <w:color w:val="111827"/>
                <w:sz w:val="18"/>
              </w:rPr>
              <w:t>Critical operation</w:t>
            </w:r>
          </w:p>
        </w:tc>
        <w:tc>
          <w:tcPr>
            <w:tcW w:type="dxa" w:w="2592"/>
            <w:shd w:val="clear" w:color="auto" w:fill="E5E7EB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r>
              <w:rPr>
                <w:b/>
                <w:color w:val="111827"/>
                <w:sz w:val="18"/>
              </w:rPr>
              <w:t>Minimum service level</w:t>
            </w:r>
          </w:p>
        </w:tc>
        <w:tc>
          <w:tcPr>
            <w:tcW w:type="dxa" w:w="2592"/>
            <w:shd w:val="clear" w:color="auto" w:fill="E5E7EB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r>
              <w:rPr>
                <w:b/>
                <w:color w:val="111827"/>
                <w:sz w:val="18"/>
              </w:rPr>
              <w:t>Owner / role responsible</w:t>
            </w:r>
          </w:p>
        </w:tc>
        <w:tc>
          <w:tcPr>
            <w:tcW w:type="dxa" w:w="2592"/>
            <w:shd w:val="clear" w:color="auto" w:fill="E5E7EB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r>
              <w:rPr>
                <w:b/>
                <w:color w:val="111827"/>
                <w:sz w:val="18"/>
              </w:rPr>
              <w:t>If disrupted, what happens?</w:t>
            </w:r>
          </w:p>
        </w:tc>
      </w:tr>
      <w:tr>
        <w:tc>
          <w:tcPr>
            <w:tcW w:type="dxa" w:w="2592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Beds / census</w:t>
            </w:r>
          </w:p>
        </w:tc>
        <w:tc>
          <w:tcPr>
            <w:tcW w:type="dxa" w:w="2592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592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592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  <w:tr>
        <w:tc>
          <w:tcPr>
            <w:tcW w:type="dxa" w:w="2592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Meds</w:t>
            </w:r>
          </w:p>
        </w:tc>
        <w:tc>
          <w:tcPr>
            <w:tcW w:type="dxa" w:w="2592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592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592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  <w:tr>
        <w:tc>
          <w:tcPr>
            <w:tcW w:type="dxa" w:w="2592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Meals / dining</w:t>
            </w:r>
          </w:p>
        </w:tc>
        <w:tc>
          <w:tcPr>
            <w:tcW w:type="dxa" w:w="2592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592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592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  <w:tr>
        <w:tc>
          <w:tcPr>
            <w:tcW w:type="dxa" w:w="2592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Clean supply</w:t>
            </w:r>
          </w:p>
        </w:tc>
        <w:tc>
          <w:tcPr>
            <w:tcW w:type="dxa" w:w="2592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592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592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  <w:tr>
        <w:tc>
          <w:tcPr>
            <w:tcW w:type="dxa" w:w="2592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Soiled / waste</w:t>
            </w:r>
          </w:p>
        </w:tc>
        <w:tc>
          <w:tcPr>
            <w:tcW w:type="dxa" w:w="2592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592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592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  <w:tr>
        <w:tc>
          <w:tcPr>
            <w:tcW w:type="dxa" w:w="2592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Staff anchors</w:t>
            </w:r>
          </w:p>
        </w:tc>
        <w:tc>
          <w:tcPr>
            <w:tcW w:type="dxa" w:w="2592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592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592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  <w:tr>
        <w:tc>
          <w:tcPr>
            <w:tcW w:type="dxa" w:w="2592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Visitor / service access</w:t>
            </w:r>
          </w:p>
        </w:tc>
        <w:tc>
          <w:tcPr>
            <w:tcW w:type="dxa" w:w="2592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592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592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</w:tbl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val="clear" w:color="auto" w:fill="F3F4F6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b/>
                <w:color w:val="111827"/>
                <w:sz w:val="21"/>
              </w:rPr>
              <w:t>2) Phasing inventory: define each phase before drawing routes</w:t>
            </w:r>
          </w:p>
          <w:p>
            <w:pPr>
              <w:pStyle w:val="AreteSmall"/>
            </w:pPr>
            <w:r>
              <w:t>Each phase should describe the work zone, beds/rooms affected, temporary routes, and decision risks.</w:t>
            </w:r>
          </w:p>
        </w:tc>
      </w:tr>
    </w:tbl>
    <w:p/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92"/>
        <w:gridCol w:w="2376"/>
        <w:gridCol w:w="1800"/>
        <w:gridCol w:w="2448"/>
        <w:gridCol w:w="2088"/>
      </w:tblGrid>
      <w:tr>
        <w:tc>
          <w:tcPr>
            <w:tcW w:type="dxa" w:w="2074"/>
            <w:shd w:val="clear" w:color="auto" w:fill="E5E7EB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r>
              <w:rPr>
                <w:b/>
                <w:color w:val="111827"/>
                <w:sz w:val="18"/>
              </w:rPr>
              <w:t>Phase</w:t>
            </w:r>
          </w:p>
        </w:tc>
        <w:tc>
          <w:tcPr>
            <w:tcW w:type="dxa" w:w="2074"/>
            <w:shd w:val="clear" w:color="auto" w:fill="E5E7EB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r>
              <w:rPr>
                <w:b/>
                <w:color w:val="111827"/>
                <w:sz w:val="18"/>
              </w:rPr>
              <w:t>Work zone / scope</w:t>
            </w:r>
          </w:p>
        </w:tc>
        <w:tc>
          <w:tcPr>
            <w:tcW w:type="dxa" w:w="2074"/>
            <w:shd w:val="clear" w:color="auto" w:fill="E5E7EB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r>
              <w:rPr>
                <w:b/>
                <w:color w:val="111827"/>
                <w:sz w:val="18"/>
              </w:rPr>
              <w:t>Beds or rooms offline</w:t>
            </w:r>
          </w:p>
        </w:tc>
        <w:tc>
          <w:tcPr>
            <w:tcW w:type="dxa" w:w="2074"/>
            <w:shd w:val="clear" w:color="auto" w:fill="E5E7EB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r>
              <w:rPr>
                <w:b/>
                <w:color w:val="111827"/>
                <w:sz w:val="18"/>
              </w:rPr>
              <w:t>Temporary routes needed</w:t>
            </w:r>
          </w:p>
        </w:tc>
        <w:tc>
          <w:tcPr>
            <w:tcW w:type="dxa" w:w="2074"/>
            <w:shd w:val="clear" w:color="auto" w:fill="E5E7EB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r>
              <w:rPr>
                <w:b/>
                <w:color w:val="111827"/>
                <w:sz w:val="18"/>
              </w:rPr>
              <w:t>Owner decision / risk</w:t>
            </w:r>
          </w:p>
        </w:tc>
      </w:tr>
      <w:tr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1</w:t>
            </w:r>
          </w:p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  <w:tr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2</w:t>
            </w:r>
          </w:p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  <w:tr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3</w:t>
            </w:r>
          </w:p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  <w:tr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4</w:t>
            </w:r>
          </w:p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  <w:tr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5</w:t>
            </w:r>
          </w:p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  <w:tr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6</w:t>
            </w:r>
          </w:p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</w:tbl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val="clear" w:color="auto" w:fill="F3F4F6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b/>
                <w:color w:val="111827"/>
                <w:sz w:val="21"/>
              </w:rPr>
              <w:t>3) Census protection test</w:t>
            </w:r>
          </w:p>
          <w:p>
            <w:pPr>
              <w:pStyle w:val="AreteSmall"/>
            </w:pPr>
            <w:r>
              <w:t>A phase is not viable if it damages revenue or care continuity without an intentional mitigation plan.</w:t>
            </w:r>
          </w:p>
        </w:tc>
      </w:tr>
    </w:tbl>
    <w:p/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92"/>
        <w:gridCol w:w="2016"/>
        <w:gridCol w:w="1800"/>
        <w:gridCol w:w="3672"/>
        <w:gridCol w:w="1080"/>
      </w:tblGrid>
      <w:tr>
        <w:tc>
          <w:tcPr>
            <w:tcW w:type="dxa" w:w="2074"/>
            <w:shd w:val="clear" w:color="auto" w:fill="E5E7EB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r>
              <w:rPr>
                <w:b/>
                <w:color w:val="111827"/>
                <w:sz w:val="18"/>
              </w:rPr>
              <w:t>Phase</w:t>
            </w:r>
          </w:p>
        </w:tc>
        <w:tc>
          <w:tcPr>
            <w:tcW w:type="dxa" w:w="2074"/>
            <w:shd w:val="clear" w:color="auto" w:fill="E5E7EB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r>
              <w:rPr>
                <w:b/>
                <w:color w:val="111827"/>
                <w:sz w:val="18"/>
              </w:rPr>
              <w:t>Target census impact</w:t>
            </w:r>
          </w:p>
        </w:tc>
        <w:tc>
          <w:tcPr>
            <w:tcW w:type="dxa" w:w="2074"/>
            <w:shd w:val="clear" w:color="auto" w:fill="E5E7EB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r>
              <w:rPr>
                <w:b/>
                <w:color w:val="111827"/>
                <w:sz w:val="18"/>
              </w:rPr>
              <w:t>Beds offline / duration</w:t>
            </w:r>
          </w:p>
        </w:tc>
        <w:tc>
          <w:tcPr>
            <w:tcW w:type="dxa" w:w="2074"/>
            <w:shd w:val="clear" w:color="auto" w:fill="E5E7EB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r>
              <w:rPr>
                <w:b/>
                <w:color w:val="111827"/>
                <w:sz w:val="18"/>
              </w:rPr>
              <w:t>Mitigation (swing rooms, sequencing, temporary service)</w:t>
            </w:r>
          </w:p>
        </w:tc>
        <w:tc>
          <w:tcPr>
            <w:tcW w:type="dxa" w:w="2074"/>
            <w:shd w:val="clear" w:color="auto" w:fill="E5E7EB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r>
              <w:rPr>
                <w:b/>
                <w:color w:val="111827"/>
                <w:sz w:val="18"/>
              </w:rPr>
              <w:t>Status</w:t>
            </w:r>
          </w:p>
        </w:tc>
      </w:tr>
      <w:tr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1</w:t>
            </w:r>
          </w:p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  <w:tr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2</w:t>
            </w:r>
          </w:p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  <w:tr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3</w:t>
            </w:r>
          </w:p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  <w:tr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4</w:t>
            </w:r>
          </w:p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  <w:tr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5</w:t>
            </w:r>
          </w:p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  <w:tr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6</w:t>
            </w:r>
          </w:p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</w:tbl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val="clear" w:color="auto" w:fill="F3F4F6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b/>
                <w:color w:val="111827"/>
                <w:sz w:val="21"/>
              </w:rPr>
              <w:t>4) Staff flow and resident/patient route test</w:t>
            </w:r>
          </w:p>
          <w:p>
            <w:pPr>
              <w:pStyle w:val="AreteSmall"/>
            </w:pPr>
            <w:r>
              <w:t>Trace routes for peak moments, not calm moments. Include med pass, meals, shift change, and emergency response.</w:t>
            </w:r>
          </w:p>
        </w:tc>
      </w:tr>
    </w:tbl>
    <w:p/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088"/>
        <w:gridCol w:w="1800"/>
        <w:gridCol w:w="2160"/>
        <w:gridCol w:w="1296"/>
        <w:gridCol w:w="2016"/>
      </w:tblGrid>
      <w:tr>
        <w:tc>
          <w:tcPr>
            <w:tcW w:type="dxa" w:w="2074"/>
            <w:shd w:val="clear" w:color="auto" w:fill="E5E7EB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r>
              <w:rPr>
                <w:b/>
                <w:color w:val="111827"/>
                <w:sz w:val="18"/>
              </w:rPr>
              <w:t>Route / movement</w:t>
            </w:r>
          </w:p>
        </w:tc>
        <w:tc>
          <w:tcPr>
            <w:tcW w:type="dxa" w:w="2074"/>
            <w:shd w:val="clear" w:color="auto" w:fill="E5E7EB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r>
              <w:rPr>
                <w:b/>
                <w:color w:val="111827"/>
                <w:sz w:val="18"/>
              </w:rPr>
              <w:t>Normal route</w:t>
            </w:r>
          </w:p>
        </w:tc>
        <w:tc>
          <w:tcPr>
            <w:tcW w:type="dxa" w:w="2074"/>
            <w:shd w:val="clear" w:color="auto" w:fill="E5E7EB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r>
              <w:rPr>
                <w:b/>
                <w:color w:val="111827"/>
                <w:sz w:val="18"/>
              </w:rPr>
              <w:t>Temporary route</w:t>
            </w:r>
          </w:p>
        </w:tc>
        <w:tc>
          <w:tcPr>
            <w:tcW w:type="dxa" w:w="2074"/>
            <w:shd w:val="clear" w:color="auto" w:fill="E5E7EB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r>
              <w:rPr>
                <w:b/>
                <w:color w:val="111827"/>
                <w:sz w:val="18"/>
              </w:rPr>
              <w:t>Peak conflict?</w:t>
            </w:r>
          </w:p>
        </w:tc>
        <w:tc>
          <w:tcPr>
            <w:tcW w:type="dxa" w:w="2074"/>
            <w:shd w:val="clear" w:color="auto" w:fill="E5E7EB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r>
              <w:rPr>
                <w:b/>
                <w:color w:val="111827"/>
                <w:sz w:val="18"/>
              </w:rPr>
              <w:t>Fix / mitigation</w:t>
            </w:r>
          </w:p>
        </w:tc>
      </w:tr>
      <w:tr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Med pass</w:t>
            </w:r>
          </w:p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  <w:tr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Meals / dining</w:t>
            </w:r>
          </w:p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  <w:tr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Rounds</w:t>
            </w:r>
          </w:p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  <w:tr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Admissions / discharge</w:t>
            </w:r>
          </w:p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  <w:tr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Clean supply</w:t>
            </w:r>
          </w:p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  <w:tr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Soiled / waste</w:t>
            </w:r>
          </w:p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  <w:tr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Visitor access</w:t>
            </w:r>
          </w:p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  <w:tr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Emergency response</w:t>
            </w:r>
          </w:p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</w:tbl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val="clear" w:color="auto" w:fill="F3F4F6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b/>
                <w:color w:val="111827"/>
                <w:sz w:val="21"/>
              </w:rPr>
              <w:t>5) Compliance continuity check</w:t>
            </w:r>
          </w:p>
          <w:p>
            <w:pPr>
              <w:pStyle w:val="AreteSmall"/>
            </w:pPr>
            <w:r>
              <w:t>Confirm the phase maintains required life safety, infection prevention, and operational controls. Confirm requirements with the AHJ(s) and clinical/compliance leadership.</w:t>
            </w:r>
          </w:p>
        </w:tc>
      </w:tr>
    </w:tbl>
    <w:p/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03"/>
        <w:gridCol w:w="8928"/>
      </w:tblGrid>
      <w:tr>
        <w:tc>
          <w:tcPr>
            <w:tcW w:type="dxa" w:w="5184"/>
            <w:tcMar>
              <w:top w:w="25" w:type="dxa"/>
              <w:start w:w="20" w:type="dxa"/>
              <w:bottom w:w="25" w:type="dxa"/>
              <w:end w:w="20" w:type="dxa"/>
            </w:tcMar>
          </w:tcPr>
          <w:p>
            <w:r>
              <w:rPr>
                <w:sz w:val="17"/>
              </w:rPr>
              <w:t>[ ]</w:t>
            </w:r>
          </w:p>
        </w:tc>
        <w:tc>
          <w:tcPr>
            <w:tcW w:type="dxa" w:w="5184"/>
            <w:tcMar>
              <w:top w:w="25" w:type="dxa"/>
              <w:start w:w="20" w:type="dxa"/>
              <w:bottom w:w="25" w:type="dxa"/>
              <w:end w:w="20" w:type="dxa"/>
            </w:tcMar>
          </w:tcPr>
          <w:p>
            <w:r>
              <w:rPr>
                <w:sz w:val="19"/>
              </w:rPr>
              <w:t>Temporary egress routes are defined, marked, and viable during peak moments.</w:t>
            </w:r>
          </w:p>
        </w:tc>
      </w:tr>
      <w:tr>
        <w:tc>
          <w:tcPr>
            <w:tcW w:type="dxa" w:w="5184"/>
            <w:tcMar>
              <w:top w:w="25" w:type="dxa"/>
              <w:start w:w="20" w:type="dxa"/>
              <w:bottom w:w="25" w:type="dxa"/>
              <w:end w:w="20" w:type="dxa"/>
            </w:tcMar>
          </w:tcPr>
          <w:p>
            <w:r>
              <w:rPr>
                <w:sz w:val="17"/>
              </w:rPr>
              <w:t>[ ]</w:t>
            </w:r>
          </w:p>
        </w:tc>
        <w:tc>
          <w:tcPr>
            <w:tcW w:type="dxa" w:w="5184"/>
            <w:tcMar>
              <w:top w:w="25" w:type="dxa"/>
              <w:start w:w="20" w:type="dxa"/>
              <w:bottom w:w="25" w:type="dxa"/>
              <w:end w:w="20" w:type="dxa"/>
            </w:tcMar>
          </w:tcPr>
          <w:p>
            <w:r>
              <w:rPr>
                <w:sz w:val="19"/>
              </w:rPr>
              <w:t>Fire/life-safety assumptions for each phase have a clear confirmation path with AHJ(s).</w:t>
            </w:r>
          </w:p>
        </w:tc>
      </w:tr>
      <w:tr>
        <w:tc>
          <w:tcPr>
            <w:tcW w:type="dxa" w:w="5184"/>
            <w:tcMar>
              <w:top w:w="25" w:type="dxa"/>
              <w:start w:w="20" w:type="dxa"/>
              <w:bottom w:w="25" w:type="dxa"/>
              <w:end w:w="20" w:type="dxa"/>
            </w:tcMar>
          </w:tcPr>
          <w:p>
            <w:r>
              <w:rPr>
                <w:sz w:val="17"/>
              </w:rPr>
              <w:t>[ ]</w:t>
            </w:r>
          </w:p>
        </w:tc>
        <w:tc>
          <w:tcPr>
            <w:tcW w:type="dxa" w:w="5184"/>
            <w:tcMar>
              <w:top w:w="25" w:type="dxa"/>
              <w:start w:w="20" w:type="dxa"/>
              <w:bottom w:w="25" w:type="dxa"/>
              <w:end w:w="20" w:type="dxa"/>
            </w:tcMar>
          </w:tcPr>
          <w:p>
            <w:r>
              <w:rPr>
                <w:sz w:val="19"/>
              </w:rPr>
              <w:t>Construction zones and clean care zones are separated conceptually.</w:t>
            </w:r>
          </w:p>
        </w:tc>
      </w:tr>
      <w:tr>
        <w:tc>
          <w:tcPr>
            <w:tcW w:type="dxa" w:w="5184"/>
            <w:tcMar>
              <w:top w:w="25" w:type="dxa"/>
              <w:start w:w="20" w:type="dxa"/>
              <w:bottom w:w="25" w:type="dxa"/>
              <w:end w:w="20" w:type="dxa"/>
            </w:tcMar>
          </w:tcPr>
          <w:p>
            <w:r>
              <w:rPr>
                <w:sz w:val="17"/>
              </w:rPr>
              <w:t>[ ]</w:t>
            </w:r>
          </w:p>
        </w:tc>
        <w:tc>
          <w:tcPr>
            <w:tcW w:type="dxa" w:w="5184"/>
            <w:tcMar>
              <w:top w:w="25" w:type="dxa"/>
              <w:start w:w="20" w:type="dxa"/>
              <w:bottom w:w="25" w:type="dxa"/>
              <w:end w:w="20" w:type="dxa"/>
            </w:tcMar>
          </w:tcPr>
          <w:p>
            <w:r>
              <w:rPr>
                <w:sz w:val="19"/>
              </w:rPr>
              <w:t>Dust/noise/odor and infection prevention controls are planned at phase level.</w:t>
            </w:r>
          </w:p>
        </w:tc>
      </w:tr>
      <w:tr>
        <w:tc>
          <w:tcPr>
            <w:tcW w:type="dxa" w:w="5184"/>
            <w:tcMar>
              <w:top w:w="25" w:type="dxa"/>
              <w:start w:w="20" w:type="dxa"/>
              <w:bottom w:w="25" w:type="dxa"/>
              <w:end w:w="20" w:type="dxa"/>
            </w:tcMar>
          </w:tcPr>
          <w:p>
            <w:r>
              <w:rPr>
                <w:sz w:val="17"/>
              </w:rPr>
              <w:t>[ ]</w:t>
            </w:r>
          </w:p>
        </w:tc>
        <w:tc>
          <w:tcPr>
            <w:tcW w:type="dxa" w:w="5184"/>
            <w:tcMar>
              <w:top w:w="25" w:type="dxa"/>
              <w:start w:w="20" w:type="dxa"/>
              <w:bottom w:w="25" w:type="dxa"/>
              <w:end w:w="20" w:type="dxa"/>
            </w:tcMar>
          </w:tcPr>
          <w:p>
            <w:r>
              <w:rPr>
                <w:sz w:val="19"/>
              </w:rPr>
              <w:t>Clean supply, soiled return, waste, and laundry flows do not create no-go crossings.</w:t>
            </w:r>
          </w:p>
        </w:tc>
      </w:tr>
      <w:tr>
        <w:tc>
          <w:tcPr>
            <w:tcW w:type="dxa" w:w="5184"/>
            <w:tcMar>
              <w:top w:w="25" w:type="dxa"/>
              <w:start w:w="20" w:type="dxa"/>
              <w:bottom w:w="25" w:type="dxa"/>
              <w:end w:w="20" w:type="dxa"/>
            </w:tcMar>
          </w:tcPr>
          <w:p>
            <w:r>
              <w:rPr>
                <w:sz w:val="17"/>
              </w:rPr>
              <w:t>[ ]</w:t>
            </w:r>
          </w:p>
        </w:tc>
        <w:tc>
          <w:tcPr>
            <w:tcW w:type="dxa" w:w="5184"/>
            <w:tcMar>
              <w:top w:w="25" w:type="dxa"/>
              <w:start w:w="20" w:type="dxa"/>
              <w:bottom w:w="25" w:type="dxa"/>
              <w:end w:w="20" w:type="dxa"/>
            </w:tcMar>
          </w:tcPr>
          <w:p>
            <w:r>
              <w:rPr>
                <w:sz w:val="19"/>
              </w:rPr>
              <w:t>Staff anchors remain usable, or temporary anchors are assigned and tested.</w:t>
            </w:r>
          </w:p>
        </w:tc>
      </w:tr>
      <w:tr>
        <w:tc>
          <w:tcPr>
            <w:tcW w:type="dxa" w:w="5184"/>
            <w:tcMar>
              <w:top w:w="25" w:type="dxa"/>
              <w:start w:w="20" w:type="dxa"/>
              <w:bottom w:w="25" w:type="dxa"/>
              <w:end w:w="20" w:type="dxa"/>
            </w:tcMar>
          </w:tcPr>
          <w:p>
            <w:r>
              <w:rPr>
                <w:sz w:val="17"/>
              </w:rPr>
              <w:t>[ ]</w:t>
            </w:r>
          </w:p>
        </w:tc>
        <w:tc>
          <w:tcPr>
            <w:tcW w:type="dxa" w:w="5184"/>
            <w:tcMar>
              <w:top w:w="25" w:type="dxa"/>
              <w:start w:w="20" w:type="dxa"/>
              <w:bottom w:w="25" w:type="dxa"/>
              <w:end w:w="20" w:type="dxa"/>
            </w:tcMar>
          </w:tcPr>
          <w:p>
            <w:r>
              <w:rPr>
                <w:sz w:val="19"/>
              </w:rPr>
              <w:t>Resident/patient movement is planned to protect safety, dignity, and care routines.</w:t>
            </w:r>
          </w:p>
        </w:tc>
      </w:tr>
      <w:tr>
        <w:tc>
          <w:tcPr>
            <w:tcW w:type="dxa" w:w="5184"/>
            <w:tcMar>
              <w:top w:w="25" w:type="dxa"/>
              <w:start w:w="20" w:type="dxa"/>
              <w:bottom w:w="25" w:type="dxa"/>
              <w:end w:w="20" w:type="dxa"/>
            </w:tcMar>
          </w:tcPr>
          <w:p>
            <w:r>
              <w:rPr>
                <w:sz w:val="17"/>
              </w:rPr>
              <w:t>[ ]</w:t>
            </w:r>
          </w:p>
        </w:tc>
        <w:tc>
          <w:tcPr>
            <w:tcW w:type="dxa" w:w="5184"/>
            <w:tcMar>
              <w:top w:w="25" w:type="dxa"/>
              <w:start w:w="20" w:type="dxa"/>
              <w:bottom w:w="25" w:type="dxa"/>
              <w:end w:w="20" w:type="dxa"/>
            </w:tcMar>
          </w:tcPr>
          <w:p>
            <w:r>
              <w:rPr>
                <w:sz w:val="19"/>
              </w:rPr>
              <w:t>Survey/compliance-sensitive areas are protected or intentionally relocated.</w:t>
            </w:r>
          </w:p>
        </w:tc>
      </w:tr>
    </w:tbl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val="clear" w:color="auto" w:fill="F3F4F6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b/>
                <w:color w:val="111827"/>
                <w:sz w:val="21"/>
              </w:rPr>
              <w:t>6) Communication and decision cadence</w:t>
            </w:r>
          </w:p>
          <w:p>
            <w:pPr>
              <w:pStyle w:val="AreteSmall"/>
            </w:pPr>
            <w:r>
              <w:t>Occupied renovation needs a tighter operating rhythm because daily operations are part of the project risk.</w:t>
            </w:r>
          </w:p>
        </w:tc>
      </w:tr>
    </w:tbl>
    <w:p/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088"/>
        <w:gridCol w:w="1656"/>
        <w:gridCol w:w="1440"/>
        <w:gridCol w:w="2592"/>
        <w:gridCol w:w="1584"/>
      </w:tblGrid>
      <w:tr>
        <w:tc>
          <w:tcPr>
            <w:tcW w:type="dxa" w:w="2074"/>
            <w:shd w:val="clear" w:color="auto" w:fill="E5E7EB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r>
              <w:rPr>
                <w:b/>
                <w:color w:val="111827"/>
                <w:sz w:val="18"/>
              </w:rPr>
              <w:t>Cadence item</w:t>
            </w:r>
          </w:p>
        </w:tc>
        <w:tc>
          <w:tcPr>
            <w:tcW w:type="dxa" w:w="2074"/>
            <w:shd w:val="clear" w:color="auto" w:fill="E5E7EB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r>
              <w:rPr>
                <w:b/>
                <w:color w:val="111827"/>
                <w:sz w:val="18"/>
              </w:rPr>
              <w:t>Owner / role</w:t>
            </w:r>
          </w:p>
        </w:tc>
        <w:tc>
          <w:tcPr>
            <w:tcW w:type="dxa" w:w="2074"/>
            <w:shd w:val="clear" w:color="auto" w:fill="E5E7EB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r>
              <w:rPr>
                <w:b/>
                <w:color w:val="111827"/>
                <w:sz w:val="18"/>
              </w:rPr>
              <w:t>Frequency</w:t>
            </w:r>
          </w:p>
        </w:tc>
        <w:tc>
          <w:tcPr>
            <w:tcW w:type="dxa" w:w="2074"/>
            <w:shd w:val="clear" w:color="auto" w:fill="E5E7EB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r>
              <w:rPr>
                <w:b/>
                <w:color w:val="111827"/>
                <w:sz w:val="18"/>
              </w:rPr>
              <w:t>What gets reviewed?</w:t>
            </w:r>
          </w:p>
        </w:tc>
        <w:tc>
          <w:tcPr>
            <w:tcW w:type="dxa" w:w="2074"/>
            <w:shd w:val="clear" w:color="auto" w:fill="E5E7EB"/>
            <w:tcMar>
              <w:top w:w="95" w:type="dxa"/>
              <w:start w:w="90" w:type="dxa"/>
              <w:bottom w:w="95" w:type="dxa"/>
              <w:end w:w="90" w:type="dxa"/>
            </w:tcMar>
            <w:vAlign w:val="center"/>
          </w:tcPr>
          <w:p>
            <w:r>
              <w:rPr>
                <w:b/>
                <w:color w:val="111827"/>
                <w:sz w:val="18"/>
              </w:rPr>
              <w:t>Notes</w:t>
            </w:r>
          </w:p>
        </w:tc>
      </w:tr>
      <w:tr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Ops huddle</w:t>
            </w:r>
          </w:p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  <w:tr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Resident/family comms</w:t>
            </w:r>
          </w:p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  <w:tr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Staff route update</w:t>
            </w:r>
          </w:p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  <w:tr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Phase readiness review</w:t>
            </w:r>
          </w:p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  <w:tr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Risk register review</w:t>
            </w:r>
          </w:p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  <w:tr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>
            <w:r>
              <w:rPr>
                <w:b/>
                <w:sz w:val="18"/>
              </w:rPr>
              <w:t>Go/No-go decision</w:t>
            </w:r>
          </w:p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  <w:tc>
          <w:tcPr>
            <w:tcW w:type="dxa" w:w="2074"/>
            <w:tcMar>
              <w:top w:w="110" w:type="dxa"/>
              <w:start w:w="90" w:type="dxa"/>
              <w:bottom w:w="110" w:type="dxa"/>
              <w:end w:w="90" w:type="dxa"/>
            </w:tcMar>
            <w:vAlign w:val="top"/>
          </w:tcPr>
          <w:p/>
        </w:tc>
      </w:tr>
    </w:tbl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val="clear" w:color="auto" w:fill="F3F4F6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b/>
                <w:color w:val="111827"/>
                <w:sz w:val="21"/>
              </w:rPr>
              <w:t>7) Phase GO / NO-GO gate</w:t>
            </w:r>
          </w:p>
          <w:p>
            <w:pPr>
              <w:pStyle w:val="AreteSmall"/>
            </w:pPr>
            <w:r>
              <w:t>Do not start or lock a phase until each item below is true.</w:t>
            </w:r>
          </w:p>
        </w:tc>
      </w:tr>
    </w:tbl>
    <w:p/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03"/>
        <w:gridCol w:w="8928"/>
      </w:tblGrid>
      <w:tr>
        <w:tc>
          <w:tcPr>
            <w:tcW w:type="dxa" w:w="5184"/>
            <w:tcMar>
              <w:top w:w="25" w:type="dxa"/>
              <w:start w:w="20" w:type="dxa"/>
              <w:bottom w:w="25" w:type="dxa"/>
              <w:end w:w="20" w:type="dxa"/>
            </w:tcMar>
          </w:tcPr>
          <w:p>
            <w:r>
              <w:rPr>
                <w:sz w:val="17"/>
              </w:rPr>
              <w:t>[ ]</w:t>
            </w:r>
          </w:p>
        </w:tc>
        <w:tc>
          <w:tcPr>
            <w:tcW w:type="dxa" w:w="5184"/>
            <w:tcMar>
              <w:top w:w="25" w:type="dxa"/>
              <w:start w:w="20" w:type="dxa"/>
              <w:bottom w:w="25" w:type="dxa"/>
              <w:end w:w="20" w:type="dxa"/>
            </w:tcMar>
          </w:tcPr>
          <w:p>
            <w:r>
              <w:rPr>
                <w:sz w:val="19"/>
              </w:rPr>
              <w:t>Census impact is stated, accepted, and mitigated.</w:t>
            </w:r>
          </w:p>
        </w:tc>
      </w:tr>
      <w:tr>
        <w:tc>
          <w:tcPr>
            <w:tcW w:type="dxa" w:w="5184"/>
            <w:tcMar>
              <w:top w:w="25" w:type="dxa"/>
              <w:start w:w="20" w:type="dxa"/>
              <w:bottom w:w="25" w:type="dxa"/>
              <w:end w:w="20" w:type="dxa"/>
            </w:tcMar>
          </w:tcPr>
          <w:p>
            <w:r>
              <w:rPr>
                <w:sz w:val="17"/>
              </w:rPr>
              <w:t>[ ]</w:t>
            </w:r>
          </w:p>
        </w:tc>
        <w:tc>
          <w:tcPr>
            <w:tcW w:type="dxa" w:w="5184"/>
            <w:tcMar>
              <w:top w:w="25" w:type="dxa"/>
              <w:start w:w="20" w:type="dxa"/>
              <w:bottom w:w="25" w:type="dxa"/>
              <w:end w:w="20" w:type="dxa"/>
            </w:tcMar>
          </w:tcPr>
          <w:p>
            <w:r>
              <w:rPr>
                <w:sz w:val="19"/>
              </w:rPr>
              <w:t>Critical operations remain functional or have approved temporary solutions.</w:t>
            </w:r>
          </w:p>
        </w:tc>
      </w:tr>
      <w:tr>
        <w:tc>
          <w:tcPr>
            <w:tcW w:type="dxa" w:w="5184"/>
            <w:tcMar>
              <w:top w:w="25" w:type="dxa"/>
              <w:start w:w="20" w:type="dxa"/>
              <w:bottom w:w="25" w:type="dxa"/>
              <w:end w:w="20" w:type="dxa"/>
            </w:tcMar>
          </w:tcPr>
          <w:p>
            <w:r>
              <w:rPr>
                <w:sz w:val="17"/>
              </w:rPr>
              <w:t>[ ]</w:t>
            </w:r>
          </w:p>
        </w:tc>
        <w:tc>
          <w:tcPr>
            <w:tcW w:type="dxa" w:w="5184"/>
            <w:tcMar>
              <w:top w:w="25" w:type="dxa"/>
              <w:start w:w="20" w:type="dxa"/>
              <w:bottom w:w="25" w:type="dxa"/>
              <w:end w:w="20" w:type="dxa"/>
            </w:tcMar>
          </w:tcPr>
          <w:p>
            <w:r>
              <w:rPr>
                <w:sz w:val="19"/>
              </w:rPr>
              <w:t>Resident/patient, staff, visitor, service, clean, and soiled routes are defined.</w:t>
            </w:r>
          </w:p>
        </w:tc>
      </w:tr>
      <w:tr>
        <w:tc>
          <w:tcPr>
            <w:tcW w:type="dxa" w:w="5184"/>
            <w:tcMar>
              <w:top w:w="25" w:type="dxa"/>
              <w:start w:w="20" w:type="dxa"/>
              <w:bottom w:w="25" w:type="dxa"/>
              <w:end w:w="20" w:type="dxa"/>
            </w:tcMar>
          </w:tcPr>
          <w:p>
            <w:r>
              <w:rPr>
                <w:sz w:val="17"/>
              </w:rPr>
              <w:t>[ ]</w:t>
            </w:r>
          </w:p>
        </w:tc>
        <w:tc>
          <w:tcPr>
            <w:tcW w:type="dxa" w:w="5184"/>
            <w:tcMar>
              <w:top w:w="25" w:type="dxa"/>
              <w:start w:w="20" w:type="dxa"/>
              <w:bottom w:w="25" w:type="dxa"/>
              <w:end w:w="20" w:type="dxa"/>
            </w:tcMar>
          </w:tcPr>
          <w:p>
            <w:r>
              <w:rPr>
                <w:sz w:val="19"/>
              </w:rPr>
              <w:t>Life safety and infection prevention assumptions are confirmed or assigned for confirmation.</w:t>
            </w:r>
          </w:p>
        </w:tc>
      </w:tr>
      <w:tr>
        <w:tc>
          <w:tcPr>
            <w:tcW w:type="dxa" w:w="5184"/>
            <w:tcMar>
              <w:top w:w="25" w:type="dxa"/>
              <w:start w:w="20" w:type="dxa"/>
              <w:bottom w:w="25" w:type="dxa"/>
              <w:end w:w="20" w:type="dxa"/>
            </w:tcMar>
          </w:tcPr>
          <w:p>
            <w:r>
              <w:rPr>
                <w:sz w:val="17"/>
              </w:rPr>
              <w:t>[ ]</w:t>
            </w:r>
          </w:p>
        </w:tc>
        <w:tc>
          <w:tcPr>
            <w:tcW w:type="dxa" w:w="5184"/>
            <w:tcMar>
              <w:top w:w="25" w:type="dxa"/>
              <w:start w:w="20" w:type="dxa"/>
              <w:bottom w:w="25" w:type="dxa"/>
              <w:end w:w="20" w:type="dxa"/>
            </w:tcMar>
          </w:tcPr>
          <w:p>
            <w:r>
              <w:rPr>
                <w:sz w:val="19"/>
              </w:rPr>
              <w:t>Staff anchors and response routes work during peak moments.</w:t>
            </w:r>
          </w:p>
        </w:tc>
      </w:tr>
      <w:tr>
        <w:tc>
          <w:tcPr>
            <w:tcW w:type="dxa" w:w="5184"/>
            <w:tcMar>
              <w:top w:w="25" w:type="dxa"/>
              <w:start w:w="20" w:type="dxa"/>
              <w:bottom w:w="25" w:type="dxa"/>
              <w:end w:w="20" w:type="dxa"/>
            </w:tcMar>
          </w:tcPr>
          <w:p>
            <w:r>
              <w:rPr>
                <w:sz w:val="17"/>
              </w:rPr>
              <w:t>[ ]</w:t>
            </w:r>
          </w:p>
        </w:tc>
        <w:tc>
          <w:tcPr>
            <w:tcW w:type="dxa" w:w="5184"/>
            <w:tcMar>
              <w:top w:w="25" w:type="dxa"/>
              <w:start w:w="20" w:type="dxa"/>
              <w:bottom w:w="25" w:type="dxa"/>
              <w:end w:w="20" w:type="dxa"/>
            </w:tcMar>
          </w:tcPr>
          <w:p>
            <w:r>
              <w:rPr>
                <w:sz w:val="19"/>
              </w:rPr>
              <w:t>Communication plan is ready for staff, residents/families, and project team.</w:t>
            </w:r>
          </w:p>
        </w:tc>
      </w:tr>
      <w:tr>
        <w:tc>
          <w:tcPr>
            <w:tcW w:type="dxa" w:w="5184"/>
            <w:tcMar>
              <w:top w:w="25" w:type="dxa"/>
              <w:start w:w="20" w:type="dxa"/>
              <w:bottom w:w="25" w:type="dxa"/>
              <w:end w:w="20" w:type="dxa"/>
            </w:tcMar>
          </w:tcPr>
          <w:p>
            <w:r>
              <w:rPr>
                <w:sz w:val="17"/>
              </w:rPr>
              <w:t>[ ]</w:t>
            </w:r>
          </w:p>
        </w:tc>
        <w:tc>
          <w:tcPr>
            <w:tcW w:type="dxa" w:w="5184"/>
            <w:tcMar>
              <w:top w:w="25" w:type="dxa"/>
              <w:start w:w="20" w:type="dxa"/>
              <w:bottom w:w="25" w:type="dxa"/>
              <w:end w:w="20" w:type="dxa"/>
            </w:tcMar>
          </w:tcPr>
          <w:p>
            <w:r>
              <w:rPr>
                <w:sz w:val="19"/>
              </w:rPr>
              <w:t>Open risks that could change the phase are assigned with owner, due date, and decision path.</w:t>
            </w:r>
          </w:p>
        </w:tc>
      </w:tr>
    </w:tbl>
    <w:p/>
    <w:p>
      <w:r>
        <w:t>Status:   [ ] GO for phase lock     [ ] NO-GO - revise phase plan before proceeding</w:t>
      </w:r>
    </w:p>
    <w:p>
      <w:r>
        <w:rPr>
          <w:b/>
          <w:sz w:val="19"/>
        </w:rPr>
        <w:t>Open risks / missing decisions (max 6):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rPr>
          <w:b/>
          <w:sz w:val="19"/>
        </w:rPr>
        <w:t>Optimization statement: We are protecting ____________________ while allowing construction to proceed by ____________________.</w:t>
      </w:r>
    </w:p>
    <w:p>
      <w:r>
        <w:t>__________________________________________________________________________________________</w:t>
      </w:r>
    </w:p>
    <w:p/>
    <w:p>
      <w:pPr>
        <w:pStyle w:val="AreteSmall"/>
      </w:pPr>
      <w:r>
        <w:t>Next step: Carry unresolved items into a live phasing risk register and review them before each phase starts.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936" w:left="936" w:header="36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color w:val="4B5563"/>
        <w:sz w:val="16"/>
      </w:rPr>
      <w:t>Areté Architecture | Predictability-first planning for long-term care projects | Tool page: https://www.arete-architecture.design/ltc-tools-trainings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1944"/>
      <w:gridCol w:w="7848"/>
    </w:tblGrid>
    <w:tr>
      <w:tc>
        <w:tcPr>
          <w:tcW w:type="dxa" w:w="4896"/>
          <w:vAlign w:val="center"/>
        </w:tcPr>
        <w:p>
          <w:r>
            <w:drawing>
              <wp:inline xmlns:a="http://schemas.openxmlformats.org/drawingml/2006/main" xmlns:pic="http://schemas.openxmlformats.org/drawingml/2006/picture">
                <wp:extent cx="1005840" cy="8382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4.1 2026_LOGO No bkg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5840" cy="838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96"/>
          <w:vAlign w:val="center"/>
        </w:tcPr>
        <w:p>
          <w:r>
            <w:rPr>
              <w:b/>
              <w:color w:val="111827"/>
              <w:sz w:val="25"/>
            </w:rPr>
            <w:t>LTC-07 Tool: Occupied Renovation Phasing Canvas</w:t>
          </w:r>
        </w:p>
        <w:p>
          <w:r>
            <w:rPr>
              <w:color w:val="4B5563"/>
              <w:sz w:val="18"/>
            </w:rPr>
            <w:t>Phasing strategy to protect census, staff flow, compliance, and continuity</w:t>
          </w:r>
        </w:p>
      </w:tc>
    </w:tr>
  </w:tbl>
  <w:p>
    <w:pPr>
      <w:pBdr>
        <w:bottom w:val="single" w:sz="6" w:space="1" w:color="D1D5DB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1182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reteH1">
    <w:name w:val="Arete H1"/>
    <w:pPr>
      <w:spacing w:before="40" w:after="60"/>
    </w:pPr>
    <w:rPr>
      <w:rFonts w:ascii="Calibri" w:hAnsi="Calibri"/>
      <w:b/>
      <w:color w:val="111827"/>
      <w:sz w:val="24"/>
    </w:rPr>
  </w:style>
  <w:style w:type="paragraph" w:customStyle="1" w:styleId="AreteSmall">
    <w:name w:val="Arete Small"/>
    <w:pPr>
      <w:spacing w:before="40" w:after="60"/>
    </w:pPr>
    <w:rPr>
      <w:rFonts w:ascii="Calibri" w:hAnsi="Calibri"/>
      <w:b w:val="0"/>
      <w:color w:val="4B5563"/>
      <w:sz w:val="17"/>
    </w:rPr>
  </w:style>
  <w:style w:type="paragraph" w:customStyle="1" w:styleId="AreteNote">
    <w:name w:val="Arete Note"/>
    <w:pPr>
      <w:spacing w:before="40" w:after="60"/>
    </w:pPr>
    <w:rPr>
      <w:rFonts w:ascii="Calibri" w:hAnsi="Calibri"/>
      <w:b w:val="0"/>
      <w:color w:val="1F293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88F6059FF0C468EA9CBB4B267EED8" ma:contentTypeVersion="14" ma:contentTypeDescription="Create a new document." ma:contentTypeScope="" ma:versionID="0330f27917949ef3c75dc8b546faa1a8">
  <xsd:schema xmlns:xsd="http://www.w3.org/2001/XMLSchema" xmlns:xs="http://www.w3.org/2001/XMLSchema" xmlns:p="http://schemas.microsoft.com/office/2006/metadata/properties" xmlns:ns2="8c91b646-3776-4fce-85f8-fbc4da2bb054" xmlns:ns3="23b110a3-f11a-4f4b-8850-abbb1cf9765a" targetNamespace="http://schemas.microsoft.com/office/2006/metadata/properties" ma:root="true" ma:fieldsID="de3f7c4251e30a95c01ba4024274a219" ns2:_="" ns3:_="">
    <xsd:import namespace="8c91b646-3776-4fce-85f8-fbc4da2bb054"/>
    <xsd:import namespace="23b110a3-f11a-4f4b-8850-abbb1cf97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91b646-3776-4fce-85f8-fbc4da2bb0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4108bad-dcfa-41f7-a724-1c0fce7a3c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b110a3-f11a-4f4b-8850-abbb1cf9765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4ccfbd-af29-4f15-b8ad-2d7714a901e4}" ma:internalName="TaxCatchAll" ma:showField="CatchAllData" ma:web="23b110a3-f11a-4f4b-8850-abbb1cf976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91b646-3776-4fce-85f8-fbc4da2bb054">
      <Terms xmlns="http://schemas.microsoft.com/office/infopath/2007/PartnerControls"/>
    </lcf76f155ced4ddcb4097134ff3c332f>
    <TaxCatchAll xmlns="23b110a3-f11a-4f4b-8850-abbb1cf9765a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3E7660-F051-43C2-948E-4B0A24E3F6E8}"/>
</file>

<file path=customXml/itemProps3.xml><?xml version="1.0" encoding="utf-8"?>
<ds:datastoreItem xmlns:ds="http://schemas.openxmlformats.org/officeDocument/2006/customXml" ds:itemID="{506D9545-86A2-4ADD-A91C-E264AE0529B2}"/>
</file>

<file path=customXml/itemProps4.xml><?xml version="1.0" encoding="utf-8"?>
<ds:datastoreItem xmlns:ds="http://schemas.openxmlformats.org/officeDocument/2006/customXml" ds:itemID="{0E21818C-3D3F-43E4-ACD9-03F3645BA2B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0x01010096788F6059FF0C468EA9CBB4B267EED8</vt:lpwstr>
  </property>
</Properties>
</file>