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color w:val="0A64BC"/>
          <w:sz w:val="36"/>
        </w:rPr>
        <w:t>IPLC - Infection Prevention Layout Canvas</w:t>
      </w:r>
    </w:p>
    <w:p>
      <w:pPr>
        <w:jc w:val="center"/>
      </w:pPr>
      <w:r>
        <w:rPr>
          <w:rFonts w:ascii="Aptos" w:hAnsi="Aptos"/>
          <w:color w:val="756F70"/>
          <w:sz w:val="20"/>
        </w:rPr>
        <w:t>LTC-08 | Infection Prevention by Layout: Practical Design Moves That Reduce Operational Risk</w:t>
      </w:r>
    </w:p>
    <w:tbl>
      <w:tblPr>
        <w:tblW w:type="auto" w:w="0"/>
        <w:jc w:val="center"/>
        <w:tblLook w:firstColumn="1" w:firstRow="1" w:lastColumn="0" w:lastRow="0" w:noHBand="0" w:noVBand="1" w:val="04A0"/>
      </w:tblPr>
      <w:tblGrid>
        <w:gridCol w:w="10656"/>
      </w:tblGrid>
      <w:tr>
        <w:tc>
          <w:tcPr>
            <w:tcW w:type="dxa" w:w="10656"/>
            <w:shd w:fill="D9EAF7"/>
            <w:vAlign w:val="top"/>
          </w:tcPr>
          <w:p>
            <w:pPr>
              <w:spacing w:after="0"/>
            </w:pPr>
            <w:r/>
            <w:r>
              <w:rPr>
                <w:rFonts w:ascii="Aptos" w:hAnsi="Aptos"/>
                <w:b w:val="0"/>
                <w:sz w:val="17"/>
              </w:rPr>
            </w:r>
            <w:r>
              <w:rPr>
                <w:rFonts w:ascii="Aptos" w:hAnsi="Aptos"/>
                <w:b/>
                <w:color w:val="6E000A"/>
                <w:sz w:val="18"/>
              </w:rPr>
              <w:t>Purpose</w:t>
            </w:r>
            <w:r>
              <w:br/>
            </w:r>
            <w:r>
              <w:rPr>
                <w:rFonts w:ascii="Aptos" w:hAnsi="Aptos"/>
                <w:sz w:val="17"/>
              </w:rPr>
              <w:t>Use this worksheet before layout lock to identify infection-risk pathways, separate high-risk flows, and convert infection prevention intent into practical layout moves. This is an operational planning tool, not medical, legal, or code advice. Confirm requirements with clinical leadership, infection prevention leadership, facilities, contractors, and authorities having jurisdiction.</w:t>
            </w:r>
          </w:p>
        </w:tc>
      </w:tr>
    </w:tbl>
    <w:p>
      <w:pPr>
        <w:pStyle w:val="Heading1"/>
        <w:spacing w:before="160" w:after="80"/>
      </w:pPr>
      <w:r>
        <w:rPr>
          <w:rFonts w:ascii="Aptos Display" w:hAnsi="Aptos Display"/>
          <w:b/>
          <w:color w:val="0A64BC"/>
          <w:sz w:val="28"/>
        </w:rPr>
        <w:t>0. Decision Output</w:t>
      </w:r>
    </w:p>
    <w:tbl>
      <w:tblPr>
        <w:tblStyle w:val="TableGrid"/>
        <w:tblW w:type="auto" w:w="0"/>
        <w:jc w:val="center"/>
        <w:tblLook w:firstColumn="1" w:firstRow="1" w:lastColumn="0" w:lastRow="0" w:noHBand="0" w:noVBand="1" w:val="04A0"/>
      </w:tblPr>
      <w:tblGrid>
        <w:gridCol w:w="2664"/>
        <w:gridCol w:w="2664"/>
        <w:gridCol w:w="2664"/>
        <w:gridCol w:w="2664"/>
      </w:tblGrid>
      <w:tr>
        <w:trPr>
          <w:tblHeader w:val="true"/>
        </w:trPr>
        <w:tc>
          <w:tcPr>
            <w:tcW w:type="dxa" w:w="2664"/>
            <w:shd w:fill="0A64BC"/>
            <w:vAlign w:val="top"/>
          </w:tcPr>
          <w:p>
            <w:pPr>
              <w:spacing w:after="0"/>
            </w:pPr>
            <w:r/>
            <w:r>
              <w:rPr>
                <w:rFonts w:ascii="Aptos" w:hAnsi="Aptos"/>
                <w:b/>
                <w:color w:val="FFFFFF"/>
                <w:sz w:val="17"/>
              </w:rPr>
              <w:t>Final output</w:t>
            </w:r>
          </w:p>
        </w:tc>
        <w:tc>
          <w:tcPr>
            <w:tcW w:type="dxa" w:w="2664"/>
            <w:shd w:fill="0A64BC"/>
            <w:vAlign w:val="top"/>
          </w:tcPr>
          <w:p>
            <w:pPr>
              <w:spacing w:after="0"/>
            </w:pPr>
            <w:r/>
            <w:r>
              <w:rPr>
                <w:rFonts w:ascii="Aptos" w:hAnsi="Aptos"/>
                <w:b/>
                <w:color w:val="FFFFFF"/>
                <w:sz w:val="17"/>
              </w:rPr>
              <w:t>Write the decision</w:t>
            </w:r>
          </w:p>
        </w:tc>
        <w:tc>
          <w:tcPr>
            <w:tcW w:type="dxa" w:w="2664"/>
            <w:shd w:fill="0A64BC"/>
            <w:vAlign w:val="top"/>
          </w:tcPr>
          <w:p>
            <w:pPr>
              <w:spacing w:after="0"/>
            </w:pPr>
            <w:r/>
            <w:r>
              <w:rPr>
                <w:rFonts w:ascii="Aptos" w:hAnsi="Aptos"/>
                <w:b/>
                <w:color w:val="FFFFFF"/>
                <w:sz w:val="17"/>
              </w:rPr>
              <w:t>Owner / lead</w:t>
            </w:r>
          </w:p>
        </w:tc>
        <w:tc>
          <w:tcPr>
            <w:tcW w:type="dxa" w:w="2664"/>
            <w:shd w:fill="0A64BC"/>
            <w:vAlign w:val="top"/>
          </w:tcPr>
          <w:p>
            <w:pPr>
              <w:spacing w:after="0"/>
            </w:pPr>
            <w:r/>
            <w:r>
              <w:rPr>
                <w:rFonts w:ascii="Aptos" w:hAnsi="Aptos"/>
                <w:b/>
                <w:color w:val="FFFFFF"/>
                <w:sz w:val="17"/>
              </w:rPr>
              <w:t>Status</w:t>
            </w:r>
          </w:p>
        </w:tc>
      </w:tr>
      <w:tr>
        <w:tc>
          <w:tcPr>
            <w:tcW w:type="dxa" w:w="2664"/>
            <w:vAlign w:val="top"/>
          </w:tcPr>
          <w:p>
            <w:pPr>
              <w:spacing w:after="0"/>
            </w:pPr>
            <w:r/>
            <w:r>
              <w:rPr>
                <w:rFonts w:ascii="Aptos" w:hAnsi="Aptos"/>
                <w:b w:val="0"/>
                <w:sz w:val="17"/>
              </w:rPr>
              <w:t>Layout moves required</w:t>
            </w:r>
          </w:p>
        </w:tc>
        <w:tc>
          <w:tcPr>
            <w:tcW w:type="dxa" w:w="2664"/>
            <w:vAlign w:val="top"/>
          </w:tcPr>
          <w:p>
            <w:pPr>
              <w:spacing w:after="0"/>
            </w:pPr>
            <w:r/>
            <w:r>
              <w:rPr>
                <w:rFonts w:ascii="Aptos" w:hAnsi="Aptos"/>
                <w:b w:val="0"/>
                <w:sz w:val="17"/>
              </w:rPr>
              <w:t>Top 3-5 design moves that must be included before layout lock.</w:t>
            </w:r>
          </w:p>
        </w:tc>
        <w:tc>
          <w:tcPr>
            <w:tcW w:type="dxa" w:w="2664"/>
            <w:vAlign w:val="top"/>
          </w:tcPr>
          <w:p>
            <w:pPr>
              <w:spacing w:after="0"/>
            </w:pPr>
            <w:r/>
            <w:r>
              <w:rPr>
                <w:rFonts w:ascii="Aptos" w:hAnsi="Aptos"/>
                <w:b w:val="0"/>
                <w:sz w:val="17"/>
              </w:rPr>
            </w:r>
          </w:p>
        </w:tc>
        <w:tc>
          <w:tcPr>
            <w:tcW w:type="dxa" w:w="2664"/>
            <w:vAlign w:val="top"/>
          </w:tcPr>
          <w:p>
            <w:pPr>
              <w:spacing w:after="0"/>
            </w:pPr>
            <w:r/>
            <w:r>
              <w:rPr>
                <w:rFonts w:ascii="Aptos" w:hAnsi="Aptos"/>
                <w:b w:val="0"/>
                <w:sz w:val="17"/>
              </w:rPr>
              <w:t>Open / Ready</w:t>
            </w:r>
          </w:p>
        </w:tc>
      </w:tr>
      <w:tr>
        <w:tc>
          <w:tcPr>
            <w:tcW w:type="dxa" w:w="2664"/>
            <w:vAlign w:val="top"/>
          </w:tcPr>
          <w:p>
            <w:pPr>
              <w:spacing w:after="0"/>
            </w:pPr>
            <w:r/>
            <w:r>
              <w:rPr>
                <w:rFonts w:ascii="Aptos" w:hAnsi="Aptos"/>
                <w:b w:val="0"/>
                <w:sz w:val="17"/>
              </w:rPr>
              <w:t>No-go crossings</w:t>
            </w:r>
          </w:p>
        </w:tc>
        <w:tc>
          <w:tcPr>
            <w:tcW w:type="dxa" w:w="2664"/>
            <w:vAlign w:val="top"/>
          </w:tcPr>
          <w:p>
            <w:pPr>
              <w:spacing w:after="0"/>
            </w:pPr>
            <w:r/>
            <w:r>
              <w:rPr>
                <w:rFonts w:ascii="Aptos" w:hAnsi="Aptos"/>
                <w:b w:val="0"/>
                <w:sz w:val="17"/>
              </w:rPr>
              <w:t>Flows or adjacencies that cannot be allowed without redesign or approved mitigation.</w:t>
            </w:r>
          </w:p>
        </w:tc>
        <w:tc>
          <w:tcPr>
            <w:tcW w:type="dxa" w:w="2664"/>
            <w:vAlign w:val="top"/>
          </w:tcPr>
          <w:p>
            <w:pPr>
              <w:spacing w:after="0"/>
            </w:pPr>
            <w:r/>
            <w:r>
              <w:rPr>
                <w:rFonts w:ascii="Aptos" w:hAnsi="Aptos"/>
                <w:b w:val="0"/>
                <w:sz w:val="17"/>
              </w:rPr>
            </w:r>
          </w:p>
        </w:tc>
        <w:tc>
          <w:tcPr>
            <w:tcW w:type="dxa" w:w="2664"/>
            <w:vAlign w:val="top"/>
          </w:tcPr>
          <w:p>
            <w:pPr>
              <w:spacing w:after="0"/>
            </w:pPr>
            <w:r/>
            <w:r>
              <w:rPr>
                <w:rFonts w:ascii="Aptos" w:hAnsi="Aptos"/>
                <w:b w:val="0"/>
                <w:sz w:val="17"/>
              </w:rPr>
              <w:t>Open / Ready</w:t>
            </w:r>
          </w:p>
        </w:tc>
      </w:tr>
    </w:tbl>
    <w:p>
      <w:pPr>
        <w:pStyle w:val="Heading1"/>
        <w:spacing w:before="160" w:after="80"/>
      </w:pPr>
      <w:r>
        <w:rPr>
          <w:rFonts w:ascii="Aptos Display" w:hAnsi="Aptos Display"/>
          <w:b/>
          <w:color w:val="0A64BC"/>
          <w:sz w:val="28"/>
        </w:rPr>
        <w:t>1. Infection Prevention Risk Baseline</w:t>
      </w:r>
    </w:p>
    <w:tbl>
      <w:tblPr>
        <w:tblStyle w:val="TableGrid"/>
        <w:tblW w:type="auto" w:w="0"/>
        <w:jc w:val="center"/>
        <w:tblLook w:firstColumn="1" w:firstRow="1" w:lastColumn="0" w:lastRow="0" w:noHBand="0" w:noVBand="1" w:val="04A0"/>
      </w:tblPr>
      <w:tblGrid>
        <w:gridCol w:w="2664"/>
        <w:gridCol w:w="2664"/>
        <w:gridCol w:w="2664"/>
        <w:gridCol w:w="2664"/>
      </w:tblGrid>
      <w:tr>
        <w:trPr>
          <w:tblHeader w:val="true"/>
        </w:trPr>
        <w:tc>
          <w:tcPr>
            <w:tcW w:type="dxa" w:w="2664"/>
            <w:shd w:fill="0A64BC"/>
            <w:vAlign w:val="top"/>
          </w:tcPr>
          <w:p>
            <w:pPr>
              <w:spacing w:after="0"/>
            </w:pPr>
            <w:r/>
            <w:r>
              <w:rPr>
                <w:rFonts w:ascii="Aptos" w:hAnsi="Aptos"/>
                <w:b/>
                <w:color w:val="FFFFFF"/>
                <w:sz w:val="16"/>
              </w:rPr>
              <w:t>Question</w:t>
            </w:r>
          </w:p>
        </w:tc>
        <w:tc>
          <w:tcPr>
            <w:tcW w:type="dxa" w:w="2664"/>
            <w:shd w:fill="0A64BC"/>
            <w:vAlign w:val="top"/>
          </w:tcPr>
          <w:p>
            <w:pPr>
              <w:spacing w:after="0"/>
            </w:pPr>
            <w:r/>
            <w:r>
              <w:rPr>
                <w:rFonts w:ascii="Aptos" w:hAnsi="Aptos"/>
                <w:b/>
                <w:color w:val="FFFFFF"/>
                <w:sz w:val="16"/>
              </w:rPr>
              <w:t>Answer / assumption</w:t>
            </w:r>
          </w:p>
        </w:tc>
        <w:tc>
          <w:tcPr>
            <w:tcW w:type="dxa" w:w="2664"/>
            <w:shd w:fill="0A64BC"/>
            <w:vAlign w:val="top"/>
          </w:tcPr>
          <w:p>
            <w:pPr>
              <w:spacing w:after="0"/>
            </w:pPr>
            <w:r/>
            <w:r>
              <w:rPr>
                <w:rFonts w:ascii="Aptos" w:hAnsi="Aptos"/>
                <w:b/>
                <w:color w:val="FFFFFF"/>
                <w:sz w:val="16"/>
              </w:rPr>
              <w:t>Who confirms?</w:t>
            </w:r>
          </w:p>
        </w:tc>
        <w:tc>
          <w:tcPr>
            <w:tcW w:type="dxa" w:w="2664"/>
            <w:shd w:fill="0A64BC"/>
            <w:vAlign w:val="top"/>
          </w:tcPr>
          <w:p>
            <w:pPr>
              <w:spacing w:after="0"/>
            </w:pPr>
            <w:r/>
            <w:r>
              <w:rPr>
                <w:rFonts w:ascii="Aptos" w:hAnsi="Aptos"/>
                <w:b/>
                <w:color w:val="FFFFFF"/>
                <w:sz w:val="16"/>
              </w:rPr>
              <w:t>Due date</w:t>
            </w:r>
          </w:p>
        </w:tc>
      </w:tr>
      <w:tr>
        <w:tc>
          <w:tcPr>
            <w:tcW w:type="dxa" w:w="2664"/>
            <w:vAlign w:val="top"/>
          </w:tcPr>
          <w:p>
            <w:pPr>
              <w:spacing w:after="0"/>
            </w:pPr>
            <w:r/>
            <w:r>
              <w:rPr>
                <w:rFonts w:ascii="Aptos" w:hAnsi="Aptos"/>
                <w:b w:val="0"/>
                <w:sz w:val="17"/>
              </w:rPr>
              <w:t>Resident / patient population served</w:t>
            </w:r>
          </w:p>
        </w:tc>
        <w:tc>
          <w:tcPr>
            <w:tcW w:type="dxa" w:w="2664"/>
            <w:vAlign w:val="top"/>
          </w:tcPr>
          <w:p>
            <w:pPr>
              <w:spacing w:after="0"/>
            </w:pPr>
            <w:r/>
            <w:r>
              <w:rPr>
                <w:rFonts w:ascii="Aptos" w:hAnsi="Aptos"/>
                <w:b w:val="0"/>
                <w:sz w:val="17"/>
              </w:rPr>
            </w:r>
          </w:p>
        </w:tc>
        <w:tc>
          <w:tcPr>
            <w:tcW w:type="dxa" w:w="2664"/>
            <w:vAlign w:val="top"/>
          </w:tcPr>
          <w:p>
            <w:pPr>
              <w:spacing w:after="0"/>
            </w:pPr>
            <w:r/>
            <w:r>
              <w:rPr>
                <w:rFonts w:ascii="Aptos" w:hAnsi="Aptos"/>
                <w:b w:val="0"/>
                <w:sz w:val="17"/>
              </w:rPr>
            </w:r>
          </w:p>
        </w:tc>
        <w:tc>
          <w:tcPr>
            <w:tcW w:type="dxa" w:w="2664"/>
            <w:vAlign w:val="top"/>
          </w:tcPr>
          <w:p>
            <w:pPr>
              <w:spacing w:after="0"/>
            </w:pPr>
            <w:r/>
            <w:r>
              <w:rPr>
                <w:rFonts w:ascii="Aptos" w:hAnsi="Aptos"/>
                <w:b w:val="0"/>
                <w:sz w:val="17"/>
              </w:rPr>
            </w:r>
          </w:p>
        </w:tc>
      </w:tr>
      <w:tr>
        <w:tc>
          <w:tcPr>
            <w:tcW w:type="dxa" w:w="2664"/>
            <w:vAlign w:val="top"/>
          </w:tcPr>
          <w:p>
            <w:pPr>
              <w:spacing w:after="0"/>
            </w:pPr>
            <w:r/>
            <w:r>
              <w:rPr>
                <w:rFonts w:ascii="Aptos" w:hAnsi="Aptos"/>
                <w:b w:val="0"/>
                <w:sz w:val="17"/>
              </w:rPr>
              <w:t>Acuity and care intensity</w:t>
            </w:r>
          </w:p>
        </w:tc>
        <w:tc>
          <w:tcPr>
            <w:tcW w:type="dxa" w:w="2664"/>
            <w:vAlign w:val="top"/>
          </w:tcPr>
          <w:p>
            <w:pPr>
              <w:spacing w:after="0"/>
            </w:pPr>
            <w:r/>
            <w:r>
              <w:rPr>
                <w:rFonts w:ascii="Aptos" w:hAnsi="Aptos"/>
                <w:b w:val="0"/>
                <w:sz w:val="17"/>
              </w:rPr>
            </w:r>
          </w:p>
        </w:tc>
        <w:tc>
          <w:tcPr>
            <w:tcW w:type="dxa" w:w="2664"/>
            <w:vAlign w:val="top"/>
          </w:tcPr>
          <w:p>
            <w:pPr>
              <w:spacing w:after="0"/>
            </w:pPr>
            <w:r/>
            <w:r>
              <w:rPr>
                <w:rFonts w:ascii="Aptos" w:hAnsi="Aptos"/>
                <w:b w:val="0"/>
                <w:sz w:val="17"/>
              </w:rPr>
            </w:r>
          </w:p>
        </w:tc>
        <w:tc>
          <w:tcPr>
            <w:tcW w:type="dxa" w:w="2664"/>
            <w:vAlign w:val="top"/>
          </w:tcPr>
          <w:p>
            <w:pPr>
              <w:spacing w:after="0"/>
            </w:pPr>
            <w:r/>
            <w:r>
              <w:rPr>
                <w:rFonts w:ascii="Aptos" w:hAnsi="Aptos"/>
                <w:b w:val="0"/>
                <w:sz w:val="17"/>
              </w:rPr>
            </w:r>
          </w:p>
        </w:tc>
      </w:tr>
      <w:tr>
        <w:tc>
          <w:tcPr>
            <w:tcW w:type="dxa" w:w="2664"/>
            <w:vAlign w:val="top"/>
          </w:tcPr>
          <w:p>
            <w:pPr>
              <w:spacing w:after="0"/>
            </w:pPr>
            <w:r/>
            <w:r>
              <w:rPr>
                <w:rFonts w:ascii="Aptos" w:hAnsi="Aptos"/>
                <w:b w:val="0"/>
                <w:sz w:val="17"/>
              </w:rPr>
              <w:t>Known infection prevention vulnerabilities</w:t>
            </w:r>
          </w:p>
        </w:tc>
        <w:tc>
          <w:tcPr>
            <w:tcW w:type="dxa" w:w="2664"/>
            <w:vAlign w:val="top"/>
          </w:tcPr>
          <w:p>
            <w:pPr>
              <w:spacing w:after="0"/>
            </w:pPr>
            <w:r/>
            <w:r>
              <w:rPr>
                <w:rFonts w:ascii="Aptos" w:hAnsi="Aptos"/>
                <w:b w:val="0"/>
                <w:sz w:val="17"/>
              </w:rPr>
            </w:r>
          </w:p>
        </w:tc>
        <w:tc>
          <w:tcPr>
            <w:tcW w:type="dxa" w:w="2664"/>
            <w:vAlign w:val="top"/>
          </w:tcPr>
          <w:p>
            <w:pPr>
              <w:spacing w:after="0"/>
            </w:pPr>
            <w:r/>
            <w:r>
              <w:rPr>
                <w:rFonts w:ascii="Aptos" w:hAnsi="Aptos"/>
                <w:b w:val="0"/>
                <w:sz w:val="17"/>
              </w:rPr>
            </w:r>
          </w:p>
        </w:tc>
        <w:tc>
          <w:tcPr>
            <w:tcW w:type="dxa" w:w="2664"/>
            <w:vAlign w:val="top"/>
          </w:tcPr>
          <w:p>
            <w:pPr>
              <w:spacing w:after="0"/>
            </w:pPr>
            <w:r/>
            <w:r>
              <w:rPr>
                <w:rFonts w:ascii="Aptos" w:hAnsi="Aptos"/>
                <w:b w:val="0"/>
                <w:sz w:val="17"/>
              </w:rPr>
            </w:r>
          </w:p>
        </w:tc>
      </w:tr>
      <w:tr>
        <w:tc>
          <w:tcPr>
            <w:tcW w:type="dxa" w:w="2664"/>
            <w:vAlign w:val="top"/>
          </w:tcPr>
          <w:p>
            <w:pPr>
              <w:spacing w:after="0"/>
            </w:pPr>
            <w:r/>
            <w:r>
              <w:rPr>
                <w:rFonts w:ascii="Aptos" w:hAnsi="Aptos"/>
                <w:b w:val="0"/>
                <w:sz w:val="17"/>
              </w:rPr>
              <w:t>Project condition: new, renovation, occupied renovation</w:t>
            </w:r>
          </w:p>
        </w:tc>
        <w:tc>
          <w:tcPr>
            <w:tcW w:type="dxa" w:w="2664"/>
            <w:vAlign w:val="top"/>
          </w:tcPr>
          <w:p>
            <w:pPr>
              <w:spacing w:after="0"/>
            </w:pPr>
            <w:r/>
            <w:r>
              <w:rPr>
                <w:rFonts w:ascii="Aptos" w:hAnsi="Aptos"/>
                <w:b w:val="0"/>
                <w:sz w:val="17"/>
              </w:rPr>
            </w:r>
          </w:p>
        </w:tc>
        <w:tc>
          <w:tcPr>
            <w:tcW w:type="dxa" w:w="2664"/>
            <w:vAlign w:val="top"/>
          </w:tcPr>
          <w:p>
            <w:pPr>
              <w:spacing w:after="0"/>
            </w:pPr>
            <w:r/>
            <w:r>
              <w:rPr>
                <w:rFonts w:ascii="Aptos" w:hAnsi="Aptos"/>
                <w:b w:val="0"/>
                <w:sz w:val="17"/>
              </w:rPr>
            </w:r>
          </w:p>
        </w:tc>
        <w:tc>
          <w:tcPr>
            <w:tcW w:type="dxa" w:w="2664"/>
            <w:vAlign w:val="top"/>
          </w:tcPr>
          <w:p>
            <w:pPr>
              <w:spacing w:after="0"/>
            </w:pPr>
            <w:r/>
            <w:r>
              <w:rPr>
                <w:rFonts w:ascii="Aptos" w:hAnsi="Aptos"/>
                <w:b w:val="0"/>
                <w:sz w:val="17"/>
              </w:rPr>
            </w:r>
          </w:p>
        </w:tc>
      </w:tr>
      <w:tr>
        <w:tc>
          <w:tcPr>
            <w:tcW w:type="dxa" w:w="2664"/>
            <w:vAlign w:val="top"/>
          </w:tcPr>
          <w:p>
            <w:pPr>
              <w:spacing w:after="0"/>
            </w:pPr>
            <w:r/>
            <w:r>
              <w:rPr>
                <w:rFonts w:ascii="Aptos" w:hAnsi="Aptos"/>
                <w:b w:val="0"/>
                <w:sz w:val="17"/>
              </w:rPr>
              <w:t>Highest-risk operational moments</w:t>
            </w:r>
          </w:p>
        </w:tc>
        <w:tc>
          <w:tcPr>
            <w:tcW w:type="dxa" w:w="2664"/>
            <w:vAlign w:val="top"/>
          </w:tcPr>
          <w:p>
            <w:pPr>
              <w:spacing w:after="0"/>
            </w:pPr>
            <w:r/>
            <w:r>
              <w:rPr>
                <w:rFonts w:ascii="Aptos" w:hAnsi="Aptos"/>
                <w:b w:val="0"/>
                <w:sz w:val="17"/>
              </w:rPr>
              <w:t>Example: med pass, meals, bathing, laundry, admissions, outbreak response.</w:t>
            </w:r>
          </w:p>
        </w:tc>
        <w:tc>
          <w:tcPr>
            <w:tcW w:type="dxa" w:w="2664"/>
            <w:vAlign w:val="top"/>
          </w:tcPr>
          <w:p>
            <w:pPr>
              <w:spacing w:after="0"/>
            </w:pPr>
            <w:r/>
            <w:r>
              <w:rPr>
                <w:rFonts w:ascii="Aptos" w:hAnsi="Aptos"/>
                <w:b w:val="0"/>
                <w:sz w:val="17"/>
              </w:rPr>
            </w:r>
          </w:p>
        </w:tc>
        <w:tc>
          <w:tcPr>
            <w:tcW w:type="dxa" w:w="2664"/>
            <w:vAlign w:val="top"/>
          </w:tcPr>
          <w:p>
            <w:pPr>
              <w:spacing w:after="0"/>
            </w:pPr>
            <w:r/>
            <w:r>
              <w:rPr>
                <w:rFonts w:ascii="Aptos" w:hAnsi="Aptos"/>
                <w:b w:val="0"/>
                <w:sz w:val="17"/>
              </w:rPr>
            </w:r>
          </w:p>
        </w:tc>
      </w:tr>
    </w:tbl>
    <w:p>
      <w:pPr>
        <w:pStyle w:val="Heading1"/>
        <w:spacing w:before="160" w:after="80"/>
      </w:pPr>
      <w:r>
        <w:rPr>
          <w:rFonts w:ascii="Aptos Display" w:hAnsi="Aptos Display"/>
          <w:b/>
          <w:color w:val="0A64BC"/>
          <w:sz w:val="28"/>
        </w:rPr>
        <w:t>2. Infection-Risk Pathways to Map</w:t>
      </w:r>
    </w:p>
    <w:tbl>
      <w:tblPr>
        <w:tblStyle w:val="TableGrid"/>
        <w:tblW w:type="auto" w:w="0"/>
        <w:jc w:val="center"/>
        <w:tblLook w:firstColumn="1" w:firstRow="1" w:lastColumn="0" w:lastRow="0" w:noHBand="0" w:noVBand="1" w:val="04A0"/>
      </w:tblPr>
      <w:tblGrid>
        <w:gridCol w:w="2131"/>
        <w:gridCol w:w="2131"/>
        <w:gridCol w:w="2131"/>
        <w:gridCol w:w="2131"/>
        <w:gridCol w:w="2131"/>
      </w:tblGrid>
      <w:tr>
        <w:trPr>
          <w:tblHeader w:val="true"/>
        </w:trPr>
        <w:tc>
          <w:tcPr>
            <w:tcW w:type="dxa" w:w="2131"/>
            <w:shd w:fill="0A64BC"/>
            <w:vAlign w:val="top"/>
          </w:tcPr>
          <w:p>
            <w:pPr>
              <w:spacing w:after="0"/>
            </w:pPr>
            <w:r/>
            <w:r>
              <w:rPr>
                <w:rFonts w:ascii="Aptos" w:hAnsi="Aptos"/>
                <w:b/>
                <w:color w:val="FFFFFF"/>
                <w:sz w:val="15"/>
              </w:rPr>
              <w:t>Pathway</w:t>
            </w:r>
          </w:p>
        </w:tc>
        <w:tc>
          <w:tcPr>
            <w:tcW w:type="dxa" w:w="2131"/>
            <w:shd w:fill="0A64BC"/>
            <w:vAlign w:val="top"/>
          </w:tcPr>
          <w:p>
            <w:pPr>
              <w:spacing w:after="0"/>
            </w:pPr>
            <w:r/>
            <w:r>
              <w:rPr>
                <w:rFonts w:ascii="Aptos" w:hAnsi="Aptos"/>
                <w:b/>
                <w:color w:val="FFFFFF"/>
                <w:sz w:val="15"/>
              </w:rPr>
              <w:t>Where it shows up</w:t>
            </w:r>
          </w:p>
        </w:tc>
        <w:tc>
          <w:tcPr>
            <w:tcW w:type="dxa" w:w="2131"/>
            <w:shd w:fill="0A64BC"/>
            <w:vAlign w:val="top"/>
          </w:tcPr>
          <w:p>
            <w:pPr>
              <w:spacing w:after="0"/>
            </w:pPr>
            <w:r/>
            <w:r>
              <w:rPr>
                <w:rFonts w:ascii="Aptos" w:hAnsi="Aptos"/>
                <w:b/>
                <w:color w:val="FFFFFF"/>
                <w:sz w:val="15"/>
              </w:rPr>
              <w:t>Layout concern</w:t>
            </w:r>
          </w:p>
        </w:tc>
        <w:tc>
          <w:tcPr>
            <w:tcW w:type="dxa" w:w="2131"/>
            <w:shd w:fill="0A64BC"/>
            <w:vAlign w:val="top"/>
          </w:tcPr>
          <w:p>
            <w:pPr>
              <w:spacing w:after="0"/>
            </w:pPr>
            <w:r/>
            <w:r>
              <w:rPr>
                <w:rFonts w:ascii="Aptos" w:hAnsi="Aptos"/>
                <w:b/>
                <w:color w:val="FFFFFF"/>
                <w:sz w:val="15"/>
              </w:rPr>
              <w:t>Pass / Concern / Fail</w:t>
            </w:r>
          </w:p>
        </w:tc>
        <w:tc>
          <w:tcPr>
            <w:tcW w:type="dxa" w:w="2131"/>
            <w:shd w:fill="0A64BC"/>
            <w:vAlign w:val="top"/>
          </w:tcPr>
          <w:p>
            <w:pPr>
              <w:spacing w:after="0"/>
            </w:pPr>
            <w:r/>
            <w:r>
              <w:rPr>
                <w:rFonts w:ascii="Aptos" w:hAnsi="Aptos"/>
                <w:b/>
                <w:color w:val="FFFFFF"/>
                <w:sz w:val="15"/>
              </w:rPr>
              <w:t>Action needed</w:t>
            </w:r>
          </w:p>
        </w:tc>
      </w:tr>
      <w:tr>
        <w:tc>
          <w:tcPr>
            <w:tcW w:type="dxa" w:w="2131"/>
            <w:vAlign w:val="top"/>
          </w:tcPr>
          <w:p>
            <w:pPr>
              <w:spacing w:after="0"/>
            </w:pPr>
            <w:r/>
            <w:r>
              <w:rPr>
                <w:rFonts w:ascii="Aptos" w:hAnsi="Aptos"/>
                <w:b w:val="0"/>
                <w:sz w:val="15"/>
              </w:rPr>
              <w:t>Clean supply</w:t>
            </w:r>
          </w:p>
        </w:tc>
        <w:tc>
          <w:tcPr>
            <w:tcW w:type="dxa" w:w="2131"/>
            <w:vAlign w:val="top"/>
          </w:tcPr>
          <w:p>
            <w:pPr>
              <w:spacing w:after="0"/>
            </w:pPr>
            <w:r/>
            <w:r>
              <w:rPr>
                <w:rFonts w:ascii="Aptos" w:hAnsi="Aptos"/>
                <w:b w:val="0"/>
                <w:sz w:val="15"/>
              </w:rPr>
              <w:t>Storage, staging, point-of-care access</w:t>
            </w:r>
          </w:p>
        </w:tc>
        <w:tc>
          <w:tcPr>
            <w:tcW w:type="dxa" w:w="2131"/>
            <w:vAlign w:val="top"/>
          </w:tcPr>
          <w:p>
            <w:pPr>
              <w:spacing w:after="0"/>
            </w:pPr>
            <w:r/>
            <w:r>
              <w:rPr>
                <w:rFonts w:ascii="Aptos" w:hAnsi="Aptos"/>
                <w:b w:val="0"/>
                <w:sz w:val="15"/>
              </w:rPr>
              <w:t>Clean items travel through soiled or public paths.</w:t>
            </w:r>
          </w:p>
        </w:tc>
        <w:tc>
          <w:tcPr>
            <w:tcW w:type="dxa" w:w="2131"/>
            <w:vAlign w:val="top"/>
          </w:tcPr>
          <w:p>
            <w:pPr>
              <w:spacing w:after="0"/>
            </w:pPr>
            <w:r/>
            <w:r>
              <w:rPr>
                <w:rFonts w:ascii="Aptos" w:hAnsi="Aptos"/>
                <w:b w:val="0"/>
                <w:sz w:val="15"/>
              </w:rPr>
            </w:r>
          </w:p>
        </w:tc>
        <w:tc>
          <w:tcPr>
            <w:tcW w:type="dxa" w:w="2131"/>
            <w:vAlign w:val="top"/>
          </w:tcPr>
          <w:p>
            <w:pPr>
              <w:spacing w:after="0"/>
            </w:pPr>
            <w:r/>
            <w:r>
              <w:rPr>
                <w:rFonts w:ascii="Aptos" w:hAnsi="Aptos"/>
                <w:b w:val="0"/>
                <w:sz w:val="15"/>
              </w:rPr>
            </w:r>
          </w:p>
        </w:tc>
      </w:tr>
      <w:tr>
        <w:tc>
          <w:tcPr>
            <w:tcW w:type="dxa" w:w="2131"/>
            <w:vAlign w:val="top"/>
          </w:tcPr>
          <w:p>
            <w:pPr>
              <w:spacing w:after="0"/>
            </w:pPr>
            <w:r/>
            <w:r>
              <w:rPr>
                <w:rFonts w:ascii="Aptos" w:hAnsi="Aptos"/>
                <w:b w:val="0"/>
                <w:sz w:val="15"/>
              </w:rPr>
              <w:t>Soiled return</w:t>
            </w:r>
          </w:p>
        </w:tc>
        <w:tc>
          <w:tcPr>
            <w:tcW w:type="dxa" w:w="2131"/>
            <w:vAlign w:val="top"/>
          </w:tcPr>
          <w:p>
            <w:pPr>
              <w:spacing w:after="0"/>
            </w:pPr>
            <w:r/>
            <w:r>
              <w:rPr>
                <w:rFonts w:ascii="Aptos" w:hAnsi="Aptos"/>
                <w:b w:val="0"/>
                <w:sz w:val="15"/>
              </w:rPr>
              <w:t>Soiled utility, laundry, waste, carts</w:t>
            </w:r>
          </w:p>
        </w:tc>
        <w:tc>
          <w:tcPr>
            <w:tcW w:type="dxa" w:w="2131"/>
            <w:vAlign w:val="top"/>
          </w:tcPr>
          <w:p>
            <w:pPr>
              <w:spacing w:after="0"/>
            </w:pPr>
            <w:r/>
            <w:r>
              <w:rPr>
                <w:rFonts w:ascii="Aptos" w:hAnsi="Aptos"/>
                <w:b w:val="0"/>
                <w:sz w:val="15"/>
              </w:rPr>
              <w:t>Soiled flow crosses clean supply, meds, meals, or resident activity.</w:t>
            </w:r>
          </w:p>
        </w:tc>
        <w:tc>
          <w:tcPr>
            <w:tcW w:type="dxa" w:w="2131"/>
            <w:vAlign w:val="top"/>
          </w:tcPr>
          <w:p>
            <w:pPr>
              <w:spacing w:after="0"/>
            </w:pPr>
            <w:r/>
            <w:r>
              <w:rPr>
                <w:rFonts w:ascii="Aptos" w:hAnsi="Aptos"/>
                <w:b w:val="0"/>
                <w:sz w:val="15"/>
              </w:rPr>
            </w:r>
          </w:p>
        </w:tc>
        <w:tc>
          <w:tcPr>
            <w:tcW w:type="dxa" w:w="2131"/>
            <w:vAlign w:val="top"/>
          </w:tcPr>
          <w:p>
            <w:pPr>
              <w:spacing w:after="0"/>
            </w:pPr>
            <w:r/>
            <w:r>
              <w:rPr>
                <w:rFonts w:ascii="Aptos" w:hAnsi="Aptos"/>
                <w:b w:val="0"/>
                <w:sz w:val="15"/>
              </w:rPr>
            </w:r>
          </w:p>
        </w:tc>
      </w:tr>
      <w:tr>
        <w:tc>
          <w:tcPr>
            <w:tcW w:type="dxa" w:w="2131"/>
            <w:vAlign w:val="top"/>
          </w:tcPr>
          <w:p>
            <w:pPr>
              <w:spacing w:after="0"/>
            </w:pPr>
            <w:r/>
            <w:r>
              <w:rPr>
                <w:rFonts w:ascii="Aptos" w:hAnsi="Aptos"/>
                <w:b w:val="0"/>
                <w:sz w:val="15"/>
              </w:rPr>
              <w:t>Hand hygiene</w:t>
            </w:r>
          </w:p>
        </w:tc>
        <w:tc>
          <w:tcPr>
            <w:tcW w:type="dxa" w:w="2131"/>
            <w:vAlign w:val="top"/>
          </w:tcPr>
          <w:p>
            <w:pPr>
              <w:spacing w:after="0"/>
            </w:pPr>
            <w:r/>
            <w:r>
              <w:rPr>
                <w:rFonts w:ascii="Aptos" w:hAnsi="Aptos"/>
                <w:b w:val="0"/>
                <w:sz w:val="15"/>
              </w:rPr>
              <w:t>Room entries, care points, staff work zones</w:t>
            </w:r>
          </w:p>
        </w:tc>
        <w:tc>
          <w:tcPr>
            <w:tcW w:type="dxa" w:w="2131"/>
            <w:vAlign w:val="top"/>
          </w:tcPr>
          <w:p>
            <w:pPr>
              <w:spacing w:after="0"/>
            </w:pPr>
            <w:r/>
            <w:r>
              <w:rPr>
                <w:rFonts w:ascii="Aptos" w:hAnsi="Aptos"/>
                <w:b w:val="0"/>
                <w:sz w:val="15"/>
              </w:rPr>
              <w:t>Hand hygiene access is too far from task location.</w:t>
            </w:r>
          </w:p>
        </w:tc>
        <w:tc>
          <w:tcPr>
            <w:tcW w:type="dxa" w:w="2131"/>
            <w:vAlign w:val="top"/>
          </w:tcPr>
          <w:p>
            <w:pPr>
              <w:spacing w:after="0"/>
            </w:pPr>
            <w:r/>
            <w:r>
              <w:rPr>
                <w:rFonts w:ascii="Aptos" w:hAnsi="Aptos"/>
                <w:b w:val="0"/>
                <w:sz w:val="15"/>
              </w:rPr>
            </w:r>
          </w:p>
        </w:tc>
        <w:tc>
          <w:tcPr>
            <w:tcW w:type="dxa" w:w="2131"/>
            <w:vAlign w:val="top"/>
          </w:tcPr>
          <w:p>
            <w:pPr>
              <w:spacing w:after="0"/>
            </w:pPr>
            <w:r/>
            <w:r>
              <w:rPr>
                <w:rFonts w:ascii="Aptos" w:hAnsi="Aptos"/>
                <w:b w:val="0"/>
                <w:sz w:val="15"/>
              </w:rPr>
            </w:r>
          </w:p>
        </w:tc>
      </w:tr>
      <w:tr>
        <w:tc>
          <w:tcPr>
            <w:tcW w:type="dxa" w:w="2131"/>
            <w:vAlign w:val="top"/>
          </w:tcPr>
          <w:p>
            <w:pPr>
              <w:spacing w:after="0"/>
            </w:pPr>
            <w:r/>
            <w:r>
              <w:rPr>
                <w:rFonts w:ascii="Aptos" w:hAnsi="Aptos"/>
                <w:b w:val="0"/>
                <w:sz w:val="15"/>
              </w:rPr>
              <w:t>PPE and isolation support</w:t>
            </w:r>
          </w:p>
        </w:tc>
        <w:tc>
          <w:tcPr>
            <w:tcW w:type="dxa" w:w="2131"/>
            <w:vAlign w:val="top"/>
          </w:tcPr>
          <w:p>
            <w:pPr>
              <w:spacing w:after="0"/>
            </w:pPr>
            <w:r/>
            <w:r>
              <w:rPr>
                <w:rFonts w:ascii="Aptos" w:hAnsi="Aptos"/>
                <w:b w:val="0"/>
                <w:sz w:val="15"/>
              </w:rPr>
              <w:t>Entries, anterooms, carts, storage, temporary controls</w:t>
            </w:r>
          </w:p>
        </w:tc>
        <w:tc>
          <w:tcPr>
            <w:tcW w:type="dxa" w:w="2131"/>
            <w:vAlign w:val="top"/>
          </w:tcPr>
          <w:p>
            <w:pPr>
              <w:spacing w:after="0"/>
            </w:pPr>
            <w:r/>
            <w:r>
              <w:rPr>
                <w:rFonts w:ascii="Aptos" w:hAnsi="Aptos"/>
                <w:b w:val="0"/>
                <w:sz w:val="15"/>
              </w:rPr>
              <w:t>PPE location or disposal path is unclear.</w:t>
            </w:r>
          </w:p>
        </w:tc>
        <w:tc>
          <w:tcPr>
            <w:tcW w:type="dxa" w:w="2131"/>
            <w:vAlign w:val="top"/>
          </w:tcPr>
          <w:p>
            <w:pPr>
              <w:spacing w:after="0"/>
            </w:pPr>
            <w:r/>
            <w:r>
              <w:rPr>
                <w:rFonts w:ascii="Aptos" w:hAnsi="Aptos"/>
                <w:b w:val="0"/>
                <w:sz w:val="15"/>
              </w:rPr>
            </w:r>
          </w:p>
        </w:tc>
        <w:tc>
          <w:tcPr>
            <w:tcW w:type="dxa" w:w="2131"/>
            <w:vAlign w:val="top"/>
          </w:tcPr>
          <w:p>
            <w:pPr>
              <w:spacing w:after="0"/>
            </w:pPr>
            <w:r/>
            <w:r>
              <w:rPr>
                <w:rFonts w:ascii="Aptos" w:hAnsi="Aptos"/>
                <w:b w:val="0"/>
                <w:sz w:val="15"/>
              </w:rPr>
            </w:r>
          </w:p>
        </w:tc>
      </w:tr>
      <w:tr>
        <w:tc>
          <w:tcPr>
            <w:tcW w:type="dxa" w:w="2131"/>
            <w:vAlign w:val="top"/>
          </w:tcPr>
          <w:p>
            <w:pPr>
              <w:spacing w:after="0"/>
            </w:pPr>
            <w:r/>
            <w:r>
              <w:rPr>
                <w:rFonts w:ascii="Aptos" w:hAnsi="Aptos"/>
                <w:b w:val="0"/>
                <w:sz w:val="15"/>
              </w:rPr>
              <w:t>Visitor / public flow</w:t>
            </w:r>
          </w:p>
        </w:tc>
        <w:tc>
          <w:tcPr>
            <w:tcW w:type="dxa" w:w="2131"/>
            <w:vAlign w:val="top"/>
          </w:tcPr>
          <w:p>
            <w:pPr>
              <w:spacing w:after="0"/>
            </w:pPr>
            <w:r/>
            <w:r>
              <w:rPr>
                <w:rFonts w:ascii="Aptos" w:hAnsi="Aptos"/>
                <w:b w:val="0"/>
                <w:sz w:val="15"/>
              </w:rPr>
              <w:t>Entry, lobby, check-in, resident areas</w:t>
            </w:r>
          </w:p>
        </w:tc>
        <w:tc>
          <w:tcPr>
            <w:tcW w:type="dxa" w:w="2131"/>
            <w:vAlign w:val="top"/>
          </w:tcPr>
          <w:p>
            <w:pPr>
              <w:spacing w:after="0"/>
            </w:pPr>
            <w:r/>
            <w:r>
              <w:rPr>
                <w:rFonts w:ascii="Aptos" w:hAnsi="Aptos"/>
                <w:b w:val="0"/>
                <w:sz w:val="15"/>
              </w:rPr>
              <w:t>Visitors cross care, clean supply, or service routes unnecessarily.</w:t>
            </w:r>
          </w:p>
        </w:tc>
        <w:tc>
          <w:tcPr>
            <w:tcW w:type="dxa" w:w="2131"/>
            <w:vAlign w:val="top"/>
          </w:tcPr>
          <w:p>
            <w:pPr>
              <w:spacing w:after="0"/>
            </w:pPr>
            <w:r/>
            <w:r>
              <w:rPr>
                <w:rFonts w:ascii="Aptos" w:hAnsi="Aptos"/>
                <w:b w:val="0"/>
                <w:sz w:val="15"/>
              </w:rPr>
            </w:r>
          </w:p>
        </w:tc>
        <w:tc>
          <w:tcPr>
            <w:tcW w:type="dxa" w:w="2131"/>
            <w:vAlign w:val="top"/>
          </w:tcPr>
          <w:p>
            <w:pPr>
              <w:spacing w:after="0"/>
            </w:pPr>
            <w:r/>
            <w:r>
              <w:rPr>
                <w:rFonts w:ascii="Aptos" w:hAnsi="Aptos"/>
                <w:b w:val="0"/>
                <w:sz w:val="15"/>
              </w:rPr>
            </w:r>
          </w:p>
        </w:tc>
      </w:tr>
      <w:tr>
        <w:tc>
          <w:tcPr>
            <w:tcW w:type="dxa" w:w="2131"/>
            <w:vAlign w:val="top"/>
          </w:tcPr>
          <w:p>
            <w:pPr>
              <w:spacing w:after="0"/>
            </w:pPr>
            <w:r/>
            <w:r>
              <w:rPr>
                <w:rFonts w:ascii="Aptos" w:hAnsi="Aptos"/>
                <w:b w:val="0"/>
                <w:sz w:val="15"/>
              </w:rPr>
              <w:t>Construction / service flow</w:t>
            </w:r>
          </w:p>
        </w:tc>
        <w:tc>
          <w:tcPr>
            <w:tcW w:type="dxa" w:w="2131"/>
            <w:vAlign w:val="top"/>
          </w:tcPr>
          <w:p>
            <w:pPr>
              <w:spacing w:after="0"/>
            </w:pPr>
            <w:r/>
            <w:r>
              <w:rPr>
                <w:rFonts w:ascii="Aptos" w:hAnsi="Aptos"/>
                <w:b w:val="0"/>
                <w:sz w:val="15"/>
              </w:rPr>
              <w:t>Temporary work zones, deliveries, waste, dust control</w:t>
            </w:r>
          </w:p>
        </w:tc>
        <w:tc>
          <w:tcPr>
            <w:tcW w:type="dxa" w:w="2131"/>
            <w:vAlign w:val="top"/>
          </w:tcPr>
          <w:p>
            <w:pPr>
              <w:spacing w:after="0"/>
            </w:pPr>
            <w:r/>
            <w:r>
              <w:rPr>
                <w:rFonts w:ascii="Aptos" w:hAnsi="Aptos"/>
                <w:b w:val="0"/>
                <w:sz w:val="15"/>
              </w:rPr>
              <w:t>Construction path enters clean care zones without controls.</w:t>
            </w:r>
          </w:p>
        </w:tc>
        <w:tc>
          <w:tcPr>
            <w:tcW w:type="dxa" w:w="2131"/>
            <w:vAlign w:val="top"/>
          </w:tcPr>
          <w:p>
            <w:pPr>
              <w:spacing w:after="0"/>
            </w:pPr>
            <w:r/>
            <w:r>
              <w:rPr>
                <w:rFonts w:ascii="Aptos" w:hAnsi="Aptos"/>
                <w:b w:val="0"/>
                <w:sz w:val="15"/>
              </w:rPr>
            </w:r>
          </w:p>
        </w:tc>
        <w:tc>
          <w:tcPr>
            <w:tcW w:type="dxa" w:w="2131"/>
            <w:vAlign w:val="top"/>
          </w:tcPr>
          <w:p>
            <w:pPr>
              <w:spacing w:after="0"/>
            </w:pPr>
            <w:r/>
            <w:r>
              <w:rPr>
                <w:rFonts w:ascii="Aptos" w:hAnsi="Aptos"/>
                <w:b w:val="0"/>
                <w:sz w:val="15"/>
              </w:rPr>
            </w:r>
          </w:p>
        </w:tc>
      </w:tr>
      <w:tr>
        <w:tc>
          <w:tcPr>
            <w:tcW w:type="dxa" w:w="2131"/>
            <w:vAlign w:val="top"/>
          </w:tcPr>
          <w:p>
            <w:pPr>
              <w:spacing w:after="0"/>
            </w:pPr>
            <w:r/>
            <w:r>
              <w:rPr>
                <w:rFonts w:ascii="Aptos" w:hAnsi="Aptos"/>
                <w:b w:val="0"/>
                <w:sz w:val="15"/>
              </w:rPr>
              <w:t>Air / wet-area risk</w:t>
            </w:r>
          </w:p>
        </w:tc>
        <w:tc>
          <w:tcPr>
            <w:tcW w:type="dxa" w:w="2131"/>
            <w:vAlign w:val="top"/>
          </w:tcPr>
          <w:p>
            <w:pPr>
              <w:spacing w:after="0"/>
            </w:pPr>
            <w:r/>
            <w:r>
              <w:rPr>
                <w:rFonts w:ascii="Aptos" w:hAnsi="Aptos"/>
                <w:b w:val="0"/>
                <w:sz w:val="15"/>
              </w:rPr>
              <w:t>HVAC zones, bathrooms, showers, laundry, water-adjacent areas</w:t>
            </w:r>
          </w:p>
        </w:tc>
        <w:tc>
          <w:tcPr>
            <w:tcW w:type="dxa" w:w="2131"/>
            <w:vAlign w:val="top"/>
          </w:tcPr>
          <w:p>
            <w:pPr>
              <w:spacing w:after="0"/>
            </w:pPr>
            <w:r/>
            <w:r>
              <w:rPr>
                <w:rFonts w:ascii="Aptos" w:hAnsi="Aptos"/>
                <w:b w:val="0"/>
                <w:sz w:val="15"/>
              </w:rPr>
              <w:t>High-risk areas need early facilities/MEP review.</w:t>
            </w:r>
          </w:p>
        </w:tc>
        <w:tc>
          <w:tcPr>
            <w:tcW w:type="dxa" w:w="2131"/>
            <w:vAlign w:val="top"/>
          </w:tcPr>
          <w:p>
            <w:pPr>
              <w:spacing w:after="0"/>
            </w:pPr>
            <w:r/>
            <w:r>
              <w:rPr>
                <w:rFonts w:ascii="Aptos" w:hAnsi="Aptos"/>
                <w:b w:val="0"/>
                <w:sz w:val="15"/>
              </w:rPr>
            </w:r>
          </w:p>
        </w:tc>
        <w:tc>
          <w:tcPr>
            <w:tcW w:type="dxa" w:w="2131"/>
            <w:vAlign w:val="top"/>
          </w:tcPr>
          <w:p>
            <w:pPr>
              <w:spacing w:after="0"/>
            </w:pPr>
            <w:r/>
            <w:r>
              <w:rPr>
                <w:rFonts w:ascii="Aptos" w:hAnsi="Aptos"/>
                <w:b w:val="0"/>
                <w:sz w:val="15"/>
              </w:rPr>
            </w:r>
          </w:p>
        </w:tc>
      </w:tr>
    </w:tbl>
    <w:p>
      <w:pPr>
        <w:pStyle w:val="Heading1"/>
        <w:spacing w:before="160" w:after="80"/>
      </w:pPr>
      <w:r>
        <w:rPr>
          <w:rFonts w:ascii="Aptos Display" w:hAnsi="Aptos Display"/>
          <w:b/>
          <w:color w:val="0A64BC"/>
          <w:sz w:val="28"/>
        </w:rPr>
        <w:t>3. Practical Layout Moves Checklist</w:t>
      </w:r>
    </w:p>
    <w:tbl>
      <w:tblPr>
        <w:tblStyle w:val="TableGrid"/>
        <w:tblW w:type="auto" w:w="0"/>
        <w:jc w:val="center"/>
        <w:tblLook w:firstColumn="1" w:firstRow="1" w:lastColumn="0" w:lastRow="0" w:noHBand="0" w:noVBand="1" w:val="04A0"/>
      </w:tblPr>
      <w:tblGrid>
        <w:gridCol w:w="2131"/>
        <w:gridCol w:w="2131"/>
        <w:gridCol w:w="2131"/>
        <w:gridCol w:w="2131"/>
        <w:gridCol w:w="2131"/>
      </w:tblGrid>
      <w:tr>
        <w:trPr>
          <w:tblHeader w:val="true"/>
        </w:trPr>
        <w:tc>
          <w:tcPr>
            <w:tcW w:type="dxa" w:w="2131"/>
            <w:shd w:fill="0A64BC"/>
            <w:vAlign w:val="top"/>
          </w:tcPr>
          <w:p>
            <w:pPr>
              <w:spacing w:after="0"/>
            </w:pPr>
            <w:r/>
            <w:r>
              <w:rPr>
                <w:rFonts w:ascii="Aptos" w:hAnsi="Aptos"/>
                <w:b/>
                <w:color w:val="FFFFFF"/>
                <w:sz w:val="15"/>
              </w:rPr>
              <w:t>Layout move</w:t>
            </w:r>
          </w:p>
        </w:tc>
        <w:tc>
          <w:tcPr>
            <w:tcW w:type="dxa" w:w="2131"/>
            <w:shd w:fill="0A64BC"/>
            <w:vAlign w:val="top"/>
          </w:tcPr>
          <w:p>
            <w:pPr>
              <w:spacing w:after="0"/>
            </w:pPr>
            <w:r/>
            <w:r>
              <w:rPr>
                <w:rFonts w:ascii="Aptos" w:hAnsi="Aptos"/>
                <w:b/>
                <w:color w:val="FFFFFF"/>
                <w:sz w:val="15"/>
              </w:rPr>
              <w:t>Why it matters</w:t>
            </w:r>
          </w:p>
        </w:tc>
        <w:tc>
          <w:tcPr>
            <w:tcW w:type="dxa" w:w="2131"/>
            <w:shd w:fill="0A64BC"/>
            <w:vAlign w:val="top"/>
          </w:tcPr>
          <w:p>
            <w:pPr>
              <w:spacing w:after="0"/>
            </w:pPr>
            <w:r/>
            <w:r>
              <w:rPr>
                <w:rFonts w:ascii="Aptos" w:hAnsi="Aptos"/>
                <w:b/>
                <w:color w:val="FFFFFF"/>
                <w:sz w:val="15"/>
              </w:rPr>
              <w:t>Where needed</w:t>
            </w:r>
          </w:p>
        </w:tc>
        <w:tc>
          <w:tcPr>
            <w:tcW w:type="dxa" w:w="2131"/>
            <w:shd w:fill="0A64BC"/>
            <w:vAlign w:val="top"/>
          </w:tcPr>
          <w:p>
            <w:pPr>
              <w:spacing w:after="0"/>
            </w:pPr>
            <w:r/>
            <w:r>
              <w:rPr>
                <w:rFonts w:ascii="Aptos" w:hAnsi="Aptos"/>
                <w:b/>
                <w:color w:val="FFFFFF"/>
                <w:sz w:val="15"/>
              </w:rPr>
              <w:t>Pass / Concern / Fail</w:t>
            </w:r>
          </w:p>
        </w:tc>
        <w:tc>
          <w:tcPr>
            <w:tcW w:type="dxa" w:w="2131"/>
            <w:shd w:fill="0A64BC"/>
            <w:vAlign w:val="top"/>
          </w:tcPr>
          <w:p>
            <w:pPr>
              <w:spacing w:after="0"/>
            </w:pPr>
            <w:r/>
            <w:r>
              <w:rPr>
                <w:rFonts w:ascii="Aptos" w:hAnsi="Aptos"/>
                <w:b/>
                <w:color w:val="FFFFFF"/>
                <w:sz w:val="15"/>
              </w:rPr>
              <w:t>Action owner</w:t>
            </w:r>
          </w:p>
        </w:tc>
      </w:tr>
      <w:tr>
        <w:tc>
          <w:tcPr>
            <w:tcW w:type="dxa" w:w="2131"/>
            <w:vAlign w:val="top"/>
          </w:tcPr>
          <w:p>
            <w:pPr>
              <w:spacing w:after="0"/>
            </w:pPr>
            <w:r/>
            <w:r>
              <w:rPr>
                <w:rFonts w:ascii="Aptos" w:hAnsi="Aptos"/>
                <w:b w:val="0"/>
                <w:sz w:val="14"/>
              </w:rPr>
              <w:t>Separate clean and soiled flows</w:t>
            </w:r>
          </w:p>
        </w:tc>
        <w:tc>
          <w:tcPr>
            <w:tcW w:type="dxa" w:w="2131"/>
            <w:vAlign w:val="top"/>
          </w:tcPr>
          <w:p>
            <w:pPr>
              <w:spacing w:after="0"/>
            </w:pPr>
            <w:r/>
            <w:r>
              <w:rPr>
                <w:rFonts w:ascii="Aptos" w:hAnsi="Aptos"/>
                <w:b w:val="0"/>
                <w:sz w:val="14"/>
              </w:rPr>
              <w:t>Reduces routine crossing and policy-only workarounds.</w:t>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r>
      <w:tr>
        <w:tc>
          <w:tcPr>
            <w:tcW w:type="dxa" w:w="2131"/>
            <w:vAlign w:val="top"/>
          </w:tcPr>
          <w:p>
            <w:pPr>
              <w:spacing w:after="0"/>
            </w:pPr>
            <w:r/>
            <w:r>
              <w:rPr>
                <w:rFonts w:ascii="Aptos" w:hAnsi="Aptos"/>
                <w:b w:val="0"/>
                <w:sz w:val="14"/>
              </w:rPr>
              <w:t>Put hand hygiene where work happens</w:t>
            </w:r>
          </w:p>
        </w:tc>
        <w:tc>
          <w:tcPr>
            <w:tcW w:type="dxa" w:w="2131"/>
            <w:vAlign w:val="top"/>
          </w:tcPr>
          <w:p>
            <w:pPr>
              <w:spacing w:after="0"/>
            </w:pPr>
            <w:r/>
            <w:r>
              <w:rPr>
                <w:rFonts w:ascii="Aptos" w:hAnsi="Aptos"/>
                <w:b w:val="0"/>
                <w:sz w:val="14"/>
              </w:rPr>
              <w:t>Makes the desired behavior the easiest behavior.</w:t>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r>
      <w:tr>
        <w:tc>
          <w:tcPr>
            <w:tcW w:type="dxa" w:w="2131"/>
            <w:vAlign w:val="top"/>
          </w:tcPr>
          <w:p>
            <w:pPr>
              <w:spacing w:after="0"/>
            </w:pPr>
            <w:r/>
            <w:r>
              <w:rPr>
                <w:rFonts w:ascii="Aptos" w:hAnsi="Aptos"/>
                <w:b w:val="0"/>
                <w:sz w:val="14"/>
              </w:rPr>
              <w:t>Define PPE staging and disposal</w:t>
            </w:r>
          </w:p>
        </w:tc>
        <w:tc>
          <w:tcPr>
            <w:tcW w:type="dxa" w:w="2131"/>
            <w:vAlign w:val="top"/>
          </w:tcPr>
          <w:p>
            <w:pPr>
              <w:spacing w:after="0"/>
            </w:pPr>
            <w:r/>
            <w:r>
              <w:rPr>
                <w:rFonts w:ascii="Aptos" w:hAnsi="Aptos"/>
                <w:b w:val="0"/>
                <w:sz w:val="14"/>
              </w:rPr>
              <w:t>Supports isolation, outbreak response, and staff consistency.</w:t>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r>
      <w:tr>
        <w:tc>
          <w:tcPr>
            <w:tcW w:type="dxa" w:w="2131"/>
            <w:vAlign w:val="top"/>
          </w:tcPr>
          <w:p>
            <w:pPr>
              <w:spacing w:after="0"/>
            </w:pPr>
            <w:r/>
            <w:r>
              <w:rPr>
                <w:rFonts w:ascii="Aptos" w:hAnsi="Aptos"/>
                <w:b w:val="0"/>
                <w:sz w:val="14"/>
              </w:rPr>
              <w:t>Protect med and meal paths</w:t>
            </w:r>
          </w:p>
        </w:tc>
        <w:tc>
          <w:tcPr>
            <w:tcW w:type="dxa" w:w="2131"/>
            <w:vAlign w:val="top"/>
          </w:tcPr>
          <w:p>
            <w:pPr>
              <w:spacing w:after="0"/>
            </w:pPr>
            <w:r/>
            <w:r>
              <w:rPr>
                <w:rFonts w:ascii="Aptos" w:hAnsi="Aptos"/>
                <w:b w:val="0"/>
                <w:sz w:val="14"/>
              </w:rPr>
              <w:t>Keeps high-frequency care delivery from conflicting with soiled/service movement.</w:t>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r>
      <w:tr>
        <w:tc>
          <w:tcPr>
            <w:tcW w:type="dxa" w:w="2131"/>
            <w:vAlign w:val="top"/>
          </w:tcPr>
          <w:p>
            <w:pPr>
              <w:spacing w:after="0"/>
            </w:pPr>
            <w:r/>
            <w:r>
              <w:rPr>
                <w:rFonts w:ascii="Aptos" w:hAnsi="Aptos"/>
                <w:b w:val="0"/>
                <w:sz w:val="14"/>
              </w:rPr>
              <w:t>Locate soiled utility for real return routes</w:t>
            </w:r>
          </w:p>
        </w:tc>
        <w:tc>
          <w:tcPr>
            <w:tcW w:type="dxa" w:w="2131"/>
            <w:vAlign w:val="top"/>
          </w:tcPr>
          <w:p>
            <w:pPr>
              <w:spacing w:after="0"/>
            </w:pPr>
            <w:r/>
            <w:r>
              <w:rPr>
                <w:rFonts w:ascii="Aptos" w:hAnsi="Aptos"/>
                <w:b w:val="0"/>
                <w:sz w:val="14"/>
              </w:rPr>
              <w:t>Prevents long, public, or clean-zone soiled travel.</w:t>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r>
      <w:tr>
        <w:tc>
          <w:tcPr>
            <w:tcW w:type="dxa" w:w="2131"/>
            <w:vAlign w:val="top"/>
          </w:tcPr>
          <w:p>
            <w:pPr>
              <w:spacing w:after="0"/>
            </w:pPr>
            <w:r/>
            <w:r>
              <w:rPr>
                <w:rFonts w:ascii="Aptos" w:hAnsi="Aptos"/>
                <w:b w:val="0"/>
                <w:sz w:val="14"/>
              </w:rPr>
              <w:t>Avoid clean storage in conflict zones</w:t>
            </w:r>
          </w:p>
        </w:tc>
        <w:tc>
          <w:tcPr>
            <w:tcW w:type="dxa" w:w="2131"/>
            <w:vAlign w:val="top"/>
          </w:tcPr>
          <w:p>
            <w:pPr>
              <w:spacing w:after="0"/>
            </w:pPr>
            <w:r/>
            <w:r>
              <w:rPr>
                <w:rFonts w:ascii="Aptos" w:hAnsi="Aptos"/>
                <w:b w:val="0"/>
                <w:sz w:val="14"/>
              </w:rPr>
              <w:t>Protects supplies from unnecessary handling and contamination exposure.</w:t>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r>
      <w:tr>
        <w:tc>
          <w:tcPr>
            <w:tcW w:type="dxa" w:w="2131"/>
            <w:vAlign w:val="top"/>
          </w:tcPr>
          <w:p>
            <w:pPr>
              <w:spacing w:after="0"/>
            </w:pPr>
            <w:r/>
            <w:r>
              <w:rPr>
                <w:rFonts w:ascii="Aptos" w:hAnsi="Aptos"/>
                <w:b w:val="0"/>
                <w:sz w:val="14"/>
              </w:rPr>
              <w:t>Clarify visitor check-in and destination routes</w:t>
            </w:r>
          </w:p>
        </w:tc>
        <w:tc>
          <w:tcPr>
            <w:tcW w:type="dxa" w:w="2131"/>
            <w:vAlign w:val="top"/>
          </w:tcPr>
          <w:p>
            <w:pPr>
              <w:spacing w:after="0"/>
            </w:pPr>
            <w:r/>
            <w:r>
              <w:rPr>
                <w:rFonts w:ascii="Aptos" w:hAnsi="Aptos"/>
                <w:b w:val="0"/>
                <w:sz w:val="14"/>
              </w:rPr>
              <w:t>Reduces uncontrolled movement through care and service areas.</w:t>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r>
      <w:tr>
        <w:tc>
          <w:tcPr>
            <w:tcW w:type="dxa" w:w="2131"/>
            <w:vAlign w:val="top"/>
          </w:tcPr>
          <w:p>
            <w:pPr>
              <w:spacing w:after="0"/>
            </w:pPr>
            <w:r/>
            <w:r>
              <w:rPr>
                <w:rFonts w:ascii="Aptos" w:hAnsi="Aptos"/>
                <w:b w:val="0"/>
                <w:sz w:val="14"/>
              </w:rPr>
              <w:t>Plan cleaning access and equipment staging</w:t>
            </w:r>
          </w:p>
        </w:tc>
        <w:tc>
          <w:tcPr>
            <w:tcW w:type="dxa" w:w="2131"/>
            <w:vAlign w:val="top"/>
          </w:tcPr>
          <w:p>
            <w:pPr>
              <w:spacing w:after="0"/>
            </w:pPr>
            <w:r/>
            <w:r>
              <w:rPr>
                <w:rFonts w:ascii="Aptos" w:hAnsi="Aptos"/>
                <w:b w:val="0"/>
                <w:sz w:val="14"/>
              </w:rPr>
              <w:t>Makes daily cleaning practical instead of improvised.</w:t>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r>
      <w:tr>
        <w:tc>
          <w:tcPr>
            <w:tcW w:type="dxa" w:w="2131"/>
            <w:vAlign w:val="top"/>
          </w:tcPr>
          <w:p>
            <w:pPr>
              <w:spacing w:after="0"/>
            </w:pPr>
            <w:r/>
            <w:r>
              <w:rPr>
                <w:rFonts w:ascii="Aptos" w:hAnsi="Aptos"/>
                <w:b w:val="0"/>
                <w:sz w:val="14"/>
              </w:rPr>
              <w:t>Use visual cues for controlled zones</w:t>
            </w:r>
          </w:p>
        </w:tc>
        <w:tc>
          <w:tcPr>
            <w:tcW w:type="dxa" w:w="2131"/>
            <w:vAlign w:val="top"/>
          </w:tcPr>
          <w:p>
            <w:pPr>
              <w:spacing w:after="0"/>
            </w:pPr>
            <w:r/>
            <w:r>
              <w:rPr>
                <w:rFonts w:ascii="Aptos" w:hAnsi="Aptos"/>
                <w:b w:val="0"/>
                <w:sz w:val="14"/>
              </w:rPr>
              <w:t>Helps staff, visitors, and vendors understand boundaries.</w:t>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r>
      <w:tr>
        <w:tc>
          <w:tcPr>
            <w:tcW w:type="dxa" w:w="2131"/>
            <w:vAlign w:val="top"/>
          </w:tcPr>
          <w:p>
            <w:pPr>
              <w:spacing w:after="0"/>
            </w:pPr>
            <w:r/>
            <w:r>
              <w:rPr>
                <w:rFonts w:ascii="Aptos" w:hAnsi="Aptos"/>
                <w:b w:val="0"/>
                <w:sz w:val="14"/>
              </w:rPr>
              <w:t>Confirm high-risk rooms early</w:t>
            </w:r>
          </w:p>
        </w:tc>
        <w:tc>
          <w:tcPr>
            <w:tcW w:type="dxa" w:w="2131"/>
            <w:vAlign w:val="top"/>
          </w:tcPr>
          <w:p>
            <w:pPr>
              <w:spacing w:after="0"/>
            </w:pPr>
            <w:r/>
            <w:r>
              <w:rPr>
                <w:rFonts w:ascii="Aptos" w:hAnsi="Aptos"/>
                <w:b w:val="0"/>
                <w:sz w:val="14"/>
              </w:rPr>
              <w:t>Isolation, bathing, treatment, laundry, and waste areas can drive layout and MEP.</w:t>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r>
      <w:tr>
        <w:tc>
          <w:tcPr>
            <w:tcW w:type="dxa" w:w="2131"/>
            <w:vAlign w:val="top"/>
          </w:tcPr>
          <w:p>
            <w:pPr>
              <w:spacing w:after="0"/>
            </w:pPr>
            <w:r/>
            <w:r>
              <w:rPr>
                <w:rFonts w:ascii="Aptos" w:hAnsi="Aptos"/>
                <w:b w:val="0"/>
                <w:sz w:val="14"/>
              </w:rPr>
              <w:t>Plan renovation infection controls early</w:t>
            </w:r>
          </w:p>
        </w:tc>
        <w:tc>
          <w:tcPr>
            <w:tcW w:type="dxa" w:w="2131"/>
            <w:vAlign w:val="top"/>
          </w:tcPr>
          <w:p>
            <w:pPr>
              <w:spacing w:after="0"/>
            </w:pPr>
            <w:r/>
            <w:r>
              <w:rPr>
                <w:rFonts w:ascii="Aptos" w:hAnsi="Aptos"/>
                <w:b w:val="0"/>
                <w:sz w:val="14"/>
              </w:rPr>
              <w:t>Temporary barriers, work paths, and dust/noise/odor controls affect operations.</w:t>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r>
    </w:tbl>
    <w:p>
      <w:r>
        <w:br w:type="page"/>
      </w:r>
    </w:p>
    <w:p>
      <w:pPr>
        <w:pStyle w:val="Heading1"/>
        <w:spacing w:before="160" w:after="80"/>
      </w:pPr>
      <w:r>
        <w:rPr>
          <w:rFonts w:ascii="Aptos Display" w:hAnsi="Aptos Display"/>
          <w:b/>
          <w:color w:val="0A64BC"/>
          <w:sz w:val="28"/>
        </w:rPr>
        <w:t>4. Flow Separation Map</w:t>
      </w:r>
    </w:p>
    <w:p>
      <w:r>
        <w:rPr>
          <w:sz w:val="17"/>
        </w:rPr>
        <w:t>Trace each route on the plan. If two flows cross, decide whether the crossing is acceptable, needs a control, or requires redesign.</w:t>
      </w:r>
    </w:p>
    <w:tbl>
      <w:tblPr>
        <w:tblStyle w:val="TableGrid"/>
        <w:tblW w:type="auto" w:w="0"/>
        <w:jc w:val="center"/>
        <w:tblLook w:firstColumn="1" w:firstRow="1" w:lastColumn="0" w:lastRow="0" w:noHBand="0" w:noVBand="1" w:val="04A0"/>
      </w:tblPr>
      <w:tblGrid>
        <w:gridCol w:w="2131"/>
        <w:gridCol w:w="2131"/>
        <w:gridCol w:w="2131"/>
        <w:gridCol w:w="2131"/>
        <w:gridCol w:w="2131"/>
      </w:tblGrid>
      <w:tr>
        <w:trPr>
          <w:tblHeader w:val="true"/>
        </w:trPr>
        <w:tc>
          <w:tcPr>
            <w:tcW w:type="dxa" w:w="2131"/>
            <w:shd w:fill="0A64BC"/>
            <w:vAlign w:val="top"/>
          </w:tcPr>
          <w:p>
            <w:pPr>
              <w:spacing w:after="0"/>
            </w:pPr>
            <w:r/>
            <w:r>
              <w:rPr>
                <w:rFonts w:ascii="Aptos" w:hAnsi="Aptos"/>
                <w:b/>
                <w:color w:val="FFFFFF"/>
                <w:sz w:val="15"/>
              </w:rPr>
              <w:t>Flow</w:t>
            </w:r>
          </w:p>
        </w:tc>
        <w:tc>
          <w:tcPr>
            <w:tcW w:type="dxa" w:w="2131"/>
            <w:shd w:fill="0A64BC"/>
            <w:vAlign w:val="top"/>
          </w:tcPr>
          <w:p>
            <w:pPr>
              <w:spacing w:after="0"/>
            </w:pPr>
            <w:r/>
            <w:r>
              <w:rPr>
                <w:rFonts w:ascii="Aptos" w:hAnsi="Aptos"/>
                <w:b/>
                <w:color w:val="FFFFFF"/>
                <w:sz w:val="15"/>
              </w:rPr>
              <w:t>Start</w:t>
            </w:r>
          </w:p>
        </w:tc>
        <w:tc>
          <w:tcPr>
            <w:tcW w:type="dxa" w:w="2131"/>
            <w:shd w:fill="0A64BC"/>
            <w:vAlign w:val="top"/>
          </w:tcPr>
          <w:p>
            <w:pPr>
              <w:spacing w:after="0"/>
            </w:pPr>
            <w:r/>
            <w:r>
              <w:rPr>
                <w:rFonts w:ascii="Aptos" w:hAnsi="Aptos"/>
                <w:b/>
                <w:color w:val="FFFFFF"/>
                <w:sz w:val="15"/>
              </w:rPr>
              <w:t>End</w:t>
            </w:r>
          </w:p>
        </w:tc>
        <w:tc>
          <w:tcPr>
            <w:tcW w:type="dxa" w:w="2131"/>
            <w:shd w:fill="0A64BC"/>
            <w:vAlign w:val="top"/>
          </w:tcPr>
          <w:p>
            <w:pPr>
              <w:spacing w:after="0"/>
            </w:pPr>
            <w:r/>
            <w:r>
              <w:rPr>
                <w:rFonts w:ascii="Aptos" w:hAnsi="Aptos"/>
                <w:b/>
                <w:color w:val="FFFFFF"/>
                <w:sz w:val="15"/>
              </w:rPr>
              <w:t>Crosses what?</w:t>
            </w:r>
          </w:p>
        </w:tc>
        <w:tc>
          <w:tcPr>
            <w:tcW w:type="dxa" w:w="2131"/>
            <w:shd w:fill="0A64BC"/>
            <w:vAlign w:val="top"/>
          </w:tcPr>
          <w:p>
            <w:pPr>
              <w:spacing w:after="0"/>
            </w:pPr>
            <w:r/>
            <w:r>
              <w:rPr>
                <w:rFonts w:ascii="Aptos" w:hAnsi="Aptos"/>
                <w:b/>
                <w:color w:val="FFFFFF"/>
                <w:sz w:val="15"/>
              </w:rPr>
              <w:t>Decision / mitigation</w:t>
            </w:r>
          </w:p>
        </w:tc>
      </w:tr>
      <w:tr>
        <w:tc>
          <w:tcPr>
            <w:tcW w:type="dxa" w:w="2131"/>
            <w:vAlign w:val="top"/>
          </w:tcPr>
          <w:p>
            <w:pPr>
              <w:spacing w:after="0"/>
            </w:pPr>
            <w:r/>
            <w:r>
              <w:rPr>
                <w:rFonts w:ascii="Aptos" w:hAnsi="Aptos"/>
                <w:b w:val="0"/>
                <w:sz w:val="15"/>
              </w:rPr>
              <w:t>Clean supply</w:t>
            </w:r>
          </w:p>
        </w:tc>
        <w:tc>
          <w:tcPr>
            <w:tcW w:type="dxa" w:w="2131"/>
            <w:vAlign w:val="top"/>
          </w:tcPr>
          <w:p>
            <w:pPr>
              <w:spacing w:after="0"/>
            </w:pPr>
            <w:r/>
            <w:r>
              <w:rPr>
                <w:rFonts w:ascii="Aptos" w:hAnsi="Aptos"/>
                <w:b w:val="0"/>
                <w:sz w:val="15"/>
              </w:rPr>
            </w:r>
          </w:p>
        </w:tc>
        <w:tc>
          <w:tcPr>
            <w:tcW w:type="dxa" w:w="2131"/>
            <w:vAlign w:val="top"/>
          </w:tcPr>
          <w:p>
            <w:pPr>
              <w:spacing w:after="0"/>
            </w:pPr>
            <w:r/>
            <w:r>
              <w:rPr>
                <w:rFonts w:ascii="Aptos" w:hAnsi="Aptos"/>
                <w:b w:val="0"/>
                <w:sz w:val="15"/>
              </w:rPr>
            </w:r>
          </w:p>
        </w:tc>
        <w:tc>
          <w:tcPr>
            <w:tcW w:type="dxa" w:w="2131"/>
            <w:vAlign w:val="top"/>
          </w:tcPr>
          <w:p>
            <w:pPr>
              <w:spacing w:after="0"/>
            </w:pPr>
            <w:r/>
            <w:r>
              <w:rPr>
                <w:rFonts w:ascii="Aptos" w:hAnsi="Aptos"/>
                <w:b w:val="0"/>
                <w:sz w:val="15"/>
              </w:rPr>
            </w:r>
          </w:p>
        </w:tc>
        <w:tc>
          <w:tcPr>
            <w:tcW w:type="dxa" w:w="2131"/>
            <w:vAlign w:val="top"/>
          </w:tcPr>
          <w:p>
            <w:pPr>
              <w:spacing w:after="0"/>
            </w:pPr>
            <w:r/>
            <w:r>
              <w:rPr>
                <w:rFonts w:ascii="Aptos" w:hAnsi="Aptos"/>
                <w:b w:val="0"/>
                <w:sz w:val="15"/>
              </w:rPr>
            </w:r>
          </w:p>
        </w:tc>
      </w:tr>
      <w:tr>
        <w:tc>
          <w:tcPr>
            <w:tcW w:type="dxa" w:w="2131"/>
            <w:vAlign w:val="top"/>
          </w:tcPr>
          <w:p>
            <w:pPr>
              <w:spacing w:after="0"/>
            </w:pPr>
            <w:r/>
            <w:r>
              <w:rPr>
                <w:rFonts w:ascii="Aptos" w:hAnsi="Aptos"/>
                <w:b w:val="0"/>
                <w:sz w:val="15"/>
              </w:rPr>
              <w:t>Soiled return</w:t>
            </w:r>
          </w:p>
        </w:tc>
        <w:tc>
          <w:tcPr>
            <w:tcW w:type="dxa" w:w="2131"/>
            <w:vAlign w:val="top"/>
          </w:tcPr>
          <w:p>
            <w:pPr>
              <w:spacing w:after="0"/>
            </w:pPr>
            <w:r/>
            <w:r>
              <w:rPr>
                <w:rFonts w:ascii="Aptos" w:hAnsi="Aptos"/>
                <w:b w:val="0"/>
                <w:sz w:val="15"/>
              </w:rPr>
            </w:r>
          </w:p>
        </w:tc>
        <w:tc>
          <w:tcPr>
            <w:tcW w:type="dxa" w:w="2131"/>
            <w:vAlign w:val="top"/>
          </w:tcPr>
          <w:p>
            <w:pPr>
              <w:spacing w:after="0"/>
            </w:pPr>
            <w:r/>
            <w:r>
              <w:rPr>
                <w:rFonts w:ascii="Aptos" w:hAnsi="Aptos"/>
                <w:b w:val="0"/>
                <w:sz w:val="15"/>
              </w:rPr>
            </w:r>
          </w:p>
        </w:tc>
        <w:tc>
          <w:tcPr>
            <w:tcW w:type="dxa" w:w="2131"/>
            <w:vAlign w:val="top"/>
          </w:tcPr>
          <w:p>
            <w:pPr>
              <w:spacing w:after="0"/>
            </w:pPr>
            <w:r/>
            <w:r>
              <w:rPr>
                <w:rFonts w:ascii="Aptos" w:hAnsi="Aptos"/>
                <w:b w:val="0"/>
                <w:sz w:val="15"/>
              </w:rPr>
            </w:r>
          </w:p>
        </w:tc>
        <w:tc>
          <w:tcPr>
            <w:tcW w:type="dxa" w:w="2131"/>
            <w:vAlign w:val="top"/>
          </w:tcPr>
          <w:p>
            <w:pPr>
              <w:spacing w:after="0"/>
            </w:pPr>
            <w:r/>
            <w:r>
              <w:rPr>
                <w:rFonts w:ascii="Aptos" w:hAnsi="Aptos"/>
                <w:b w:val="0"/>
                <w:sz w:val="15"/>
              </w:rPr>
            </w:r>
          </w:p>
        </w:tc>
      </w:tr>
      <w:tr>
        <w:tc>
          <w:tcPr>
            <w:tcW w:type="dxa" w:w="2131"/>
            <w:vAlign w:val="top"/>
          </w:tcPr>
          <w:p>
            <w:pPr>
              <w:spacing w:after="0"/>
            </w:pPr>
            <w:r/>
            <w:r>
              <w:rPr>
                <w:rFonts w:ascii="Aptos" w:hAnsi="Aptos"/>
                <w:b w:val="0"/>
                <w:sz w:val="15"/>
              </w:rPr>
              <w:t>Waste / laundry</w:t>
            </w:r>
          </w:p>
        </w:tc>
        <w:tc>
          <w:tcPr>
            <w:tcW w:type="dxa" w:w="2131"/>
            <w:vAlign w:val="top"/>
          </w:tcPr>
          <w:p>
            <w:pPr>
              <w:spacing w:after="0"/>
            </w:pPr>
            <w:r/>
            <w:r>
              <w:rPr>
                <w:rFonts w:ascii="Aptos" w:hAnsi="Aptos"/>
                <w:b w:val="0"/>
                <w:sz w:val="15"/>
              </w:rPr>
            </w:r>
          </w:p>
        </w:tc>
        <w:tc>
          <w:tcPr>
            <w:tcW w:type="dxa" w:w="2131"/>
            <w:vAlign w:val="top"/>
          </w:tcPr>
          <w:p>
            <w:pPr>
              <w:spacing w:after="0"/>
            </w:pPr>
            <w:r/>
            <w:r>
              <w:rPr>
                <w:rFonts w:ascii="Aptos" w:hAnsi="Aptos"/>
                <w:b w:val="0"/>
                <w:sz w:val="15"/>
              </w:rPr>
            </w:r>
          </w:p>
        </w:tc>
        <w:tc>
          <w:tcPr>
            <w:tcW w:type="dxa" w:w="2131"/>
            <w:vAlign w:val="top"/>
          </w:tcPr>
          <w:p>
            <w:pPr>
              <w:spacing w:after="0"/>
            </w:pPr>
            <w:r/>
            <w:r>
              <w:rPr>
                <w:rFonts w:ascii="Aptos" w:hAnsi="Aptos"/>
                <w:b w:val="0"/>
                <w:sz w:val="15"/>
              </w:rPr>
            </w:r>
          </w:p>
        </w:tc>
        <w:tc>
          <w:tcPr>
            <w:tcW w:type="dxa" w:w="2131"/>
            <w:vAlign w:val="top"/>
          </w:tcPr>
          <w:p>
            <w:pPr>
              <w:spacing w:after="0"/>
            </w:pPr>
            <w:r/>
            <w:r>
              <w:rPr>
                <w:rFonts w:ascii="Aptos" w:hAnsi="Aptos"/>
                <w:b w:val="0"/>
                <w:sz w:val="15"/>
              </w:rPr>
            </w:r>
          </w:p>
        </w:tc>
      </w:tr>
      <w:tr>
        <w:tc>
          <w:tcPr>
            <w:tcW w:type="dxa" w:w="2131"/>
            <w:vAlign w:val="top"/>
          </w:tcPr>
          <w:p>
            <w:pPr>
              <w:spacing w:after="0"/>
            </w:pPr>
            <w:r/>
            <w:r>
              <w:rPr>
                <w:rFonts w:ascii="Aptos" w:hAnsi="Aptos"/>
                <w:b w:val="0"/>
                <w:sz w:val="15"/>
              </w:rPr>
              <w:t>Meals</w:t>
            </w:r>
          </w:p>
        </w:tc>
        <w:tc>
          <w:tcPr>
            <w:tcW w:type="dxa" w:w="2131"/>
            <w:vAlign w:val="top"/>
          </w:tcPr>
          <w:p>
            <w:pPr>
              <w:spacing w:after="0"/>
            </w:pPr>
            <w:r/>
            <w:r>
              <w:rPr>
                <w:rFonts w:ascii="Aptos" w:hAnsi="Aptos"/>
                <w:b w:val="0"/>
                <w:sz w:val="15"/>
              </w:rPr>
            </w:r>
          </w:p>
        </w:tc>
        <w:tc>
          <w:tcPr>
            <w:tcW w:type="dxa" w:w="2131"/>
            <w:vAlign w:val="top"/>
          </w:tcPr>
          <w:p>
            <w:pPr>
              <w:spacing w:after="0"/>
            </w:pPr>
            <w:r/>
            <w:r>
              <w:rPr>
                <w:rFonts w:ascii="Aptos" w:hAnsi="Aptos"/>
                <w:b w:val="0"/>
                <w:sz w:val="15"/>
              </w:rPr>
            </w:r>
          </w:p>
        </w:tc>
        <w:tc>
          <w:tcPr>
            <w:tcW w:type="dxa" w:w="2131"/>
            <w:vAlign w:val="top"/>
          </w:tcPr>
          <w:p>
            <w:pPr>
              <w:spacing w:after="0"/>
            </w:pPr>
            <w:r/>
            <w:r>
              <w:rPr>
                <w:rFonts w:ascii="Aptos" w:hAnsi="Aptos"/>
                <w:b w:val="0"/>
                <w:sz w:val="15"/>
              </w:rPr>
            </w:r>
          </w:p>
        </w:tc>
        <w:tc>
          <w:tcPr>
            <w:tcW w:type="dxa" w:w="2131"/>
            <w:vAlign w:val="top"/>
          </w:tcPr>
          <w:p>
            <w:pPr>
              <w:spacing w:after="0"/>
            </w:pPr>
            <w:r/>
            <w:r>
              <w:rPr>
                <w:rFonts w:ascii="Aptos" w:hAnsi="Aptos"/>
                <w:b w:val="0"/>
                <w:sz w:val="15"/>
              </w:rPr>
            </w:r>
          </w:p>
        </w:tc>
      </w:tr>
      <w:tr>
        <w:tc>
          <w:tcPr>
            <w:tcW w:type="dxa" w:w="2131"/>
            <w:vAlign w:val="top"/>
          </w:tcPr>
          <w:p>
            <w:pPr>
              <w:spacing w:after="0"/>
            </w:pPr>
            <w:r/>
            <w:r>
              <w:rPr>
                <w:rFonts w:ascii="Aptos" w:hAnsi="Aptos"/>
                <w:b w:val="0"/>
                <w:sz w:val="15"/>
              </w:rPr>
              <w:t>Medication</w:t>
            </w:r>
          </w:p>
        </w:tc>
        <w:tc>
          <w:tcPr>
            <w:tcW w:type="dxa" w:w="2131"/>
            <w:vAlign w:val="top"/>
          </w:tcPr>
          <w:p>
            <w:pPr>
              <w:spacing w:after="0"/>
            </w:pPr>
            <w:r/>
            <w:r>
              <w:rPr>
                <w:rFonts w:ascii="Aptos" w:hAnsi="Aptos"/>
                <w:b w:val="0"/>
                <w:sz w:val="15"/>
              </w:rPr>
            </w:r>
          </w:p>
        </w:tc>
        <w:tc>
          <w:tcPr>
            <w:tcW w:type="dxa" w:w="2131"/>
            <w:vAlign w:val="top"/>
          </w:tcPr>
          <w:p>
            <w:pPr>
              <w:spacing w:after="0"/>
            </w:pPr>
            <w:r/>
            <w:r>
              <w:rPr>
                <w:rFonts w:ascii="Aptos" w:hAnsi="Aptos"/>
                <w:b w:val="0"/>
                <w:sz w:val="15"/>
              </w:rPr>
            </w:r>
          </w:p>
        </w:tc>
        <w:tc>
          <w:tcPr>
            <w:tcW w:type="dxa" w:w="2131"/>
            <w:vAlign w:val="top"/>
          </w:tcPr>
          <w:p>
            <w:pPr>
              <w:spacing w:after="0"/>
            </w:pPr>
            <w:r/>
            <w:r>
              <w:rPr>
                <w:rFonts w:ascii="Aptos" w:hAnsi="Aptos"/>
                <w:b w:val="0"/>
                <w:sz w:val="15"/>
              </w:rPr>
            </w:r>
          </w:p>
        </w:tc>
        <w:tc>
          <w:tcPr>
            <w:tcW w:type="dxa" w:w="2131"/>
            <w:vAlign w:val="top"/>
          </w:tcPr>
          <w:p>
            <w:pPr>
              <w:spacing w:after="0"/>
            </w:pPr>
            <w:r/>
            <w:r>
              <w:rPr>
                <w:rFonts w:ascii="Aptos" w:hAnsi="Aptos"/>
                <w:b w:val="0"/>
                <w:sz w:val="15"/>
              </w:rPr>
            </w:r>
          </w:p>
        </w:tc>
      </w:tr>
      <w:tr>
        <w:tc>
          <w:tcPr>
            <w:tcW w:type="dxa" w:w="2131"/>
            <w:vAlign w:val="top"/>
          </w:tcPr>
          <w:p>
            <w:pPr>
              <w:spacing w:after="0"/>
            </w:pPr>
            <w:r/>
            <w:r>
              <w:rPr>
                <w:rFonts w:ascii="Aptos" w:hAnsi="Aptos"/>
                <w:b w:val="0"/>
                <w:sz w:val="15"/>
              </w:rPr>
              <w:t>Visitor / public</w:t>
            </w:r>
          </w:p>
        </w:tc>
        <w:tc>
          <w:tcPr>
            <w:tcW w:type="dxa" w:w="2131"/>
            <w:vAlign w:val="top"/>
          </w:tcPr>
          <w:p>
            <w:pPr>
              <w:spacing w:after="0"/>
            </w:pPr>
            <w:r/>
            <w:r>
              <w:rPr>
                <w:rFonts w:ascii="Aptos" w:hAnsi="Aptos"/>
                <w:b w:val="0"/>
                <w:sz w:val="15"/>
              </w:rPr>
            </w:r>
          </w:p>
        </w:tc>
        <w:tc>
          <w:tcPr>
            <w:tcW w:type="dxa" w:w="2131"/>
            <w:vAlign w:val="top"/>
          </w:tcPr>
          <w:p>
            <w:pPr>
              <w:spacing w:after="0"/>
            </w:pPr>
            <w:r/>
            <w:r>
              <w:rPr>
                <w:rFonts w:ascii="Aptos" w:hAnsi="Aptos"/>
                <w:b w:val="0"/>
                <w:sz w:val="15"/>
              </w:rPr>
            </w:r>
          </w:p>
        </w:tc>
        <w:tc>
          <w:tcPr>
            <w:tcW w:type="dxa" w:w="2131"/>
            <w:vAlign w:val="top"/>
          </w:tcPr>
          <w:p>
            <w:pPr>
              <w:spacing w:after="0"/>
            </w:pPr>
            <w:r/>
            <w:r>
              <w:rPr>
                <w:rFonts w:ascii="Aptos" w:hAnsi="Aptos"/>
                <w:b w:val="0"/>
                <w:sz w:val="15"/>
              </w:rPr>
            </w:r>
          </w:p>
        </w:tc>
        <w:tc>
          <w:tcPr>
            <w:tcW w:type="dxa" w:w="2131"/>
            <w:vAlign w:val="top"/>
          </w:tcPr>
          <w:p>
            <w:pPr>
              <w:spacing w:after="0"/>
            </w:pPr>
            <w:r/>
            <w:r>
              <w:rPr>
                <w:rFonts w:ascii="Aptos" w:hAnsi="Aptos"/>
                <w:b w:val="0"/>
                <w:sz w:val="15"/>
              </w:rPr>
            </w:r>
          </w:p>
        </w:tc>
      </w:tr>
      <w:tr>
        <w:tc>
          <w:tcPr>
            <w:tcW w:type="dxa" w:w="2131"/>
            <w:vAlign w:val="top"/>
          </w:tcPr>
          <w:p>
            <w:pPr>
              <w:spacing w:after="0"/>
            </w:pPr>
            <w:r/>
            <w:r>
              <w:rPr>
                <w:rFonts w:ascii="Aptos" w:hAnsi="Aptos"/>
                <w:b w:val="0"/>
                <w:sz w:val="15"/>
              </w:rPr>
              <w:t>Construction / service</w:t>
            </w:r>
          </w:p>
        </w:tc>
        <w:tc>
          <w:tcPr>
            <w:tcW w:type="dxa" w:w="2131"/>
            <w:vAlign w:val="top"/>
          </w:tcPr>
          <w:p>
            <w:pPr>
              <w:spacing w:after="0"/>
            </w:pPr>
            <w:r/>
            <w:r>
              <w:rPr>
                <w:rFonts w:ascii="Aptos" w:hAnsi="Aptos"/>
                <w:b w:val="0"/>
                <w:sz w:val="15"/>
              </w:rPr>
            </w:r>
          </w:p>
        </w:tc>
        <w:tc>
          <w:tcPr>
            <w:tcW w:type="dxa" w:w="2131"/>
            <w:vAlign w:val="top"/>
          </w:tcPr>
          <w:p>
            <w:pPr>
              <w:spacing w:after="0"/>
            </w:pPr>
            <w:r/>
            <w:r>
              <w:rPr>
                <w:rFonts w:ascii="Aptos" w:hAnsi="Aptos"/>
                <w:b w:val="0"/>
                <w:sz w:val="15"/>
              </w:rPr>
            </w:r>
          </w:p>
        </w:tc>
        <w:tc>
          <w:tcPr>
            <w:tcW w:type="dxa" w:w="2131"/>
            <w:vAlign w:val="top"/>
          </w:tcPr>
          <w:p>
            <w:pPr>
              <w:spacing w:after="0"/>
            </w:pPr>
            <w:r/>
            <w:r>
              <w:rPr>
                <w:rFonts w:ascii="Aptos" w:hAnsi="Aptos"/>
                <w:b w:val="0"/>
                <w:sz w:val="15"/>
              </w:rPr>
            </w:r>
          </w:p>
        </w:tc>
        <w:tc>
          <w:tcPr>
            <w:tcW w:type="dxa" w:w="2131"/>
            <w:vAlign w:val="top"/>
          </w:tcPr>
          <w:p>
            <w:pPr>
              <w:spacing w:after="0"/>
            </w:pPr>
            <w:r/>
            <w:r>
              <w:rPr>
                <w:rFonts w:ascii="Aptos" w:hAnsi="Aptos"/>
                <w:b w:val="0"/>
                <w:sz w:val="15"/>
              </w:rPr>
            </w:r>
          </w:p>
        </w:tc>
      </w:tr>
    </w:tbl>
    <w:p>
      <w:pPr>
        <w:pStyle w:val="Heading1"/>
        <w:spacing w:before="160" w:after="80"/>
      </w:pPr>
      <w:r>
        <w:rPr>
          <w:rFonts w:ascii="Aptos Display" w:hAnsi="Aptos Display"/>
          <w:b/>
          <w:color w:val="0A64BC"/>
          <w:sz w:val="28"/>
        </w:rPr>
        <w:t>5. Peak-Moment and Outbreak Stress Test</w:t>
      </w:r>
    </w:p>
    <w:tbl>
      <w:tblPr>
        <w:tblStyle w:val="TableGrid"/>
        <w:tblW w:type="auto" w:w="0"/>
        <w:jc w:val="center"/>
        <w:tblLook w:firstColumn="1" w:firstRow="1" w:lastColumn="0" w:lastRow="0" w:noHBand="0" w:noVBand="1" w:val="04A0"/>
      </w:tblPr>
      <w:tblGrid>
        <w:gridCol w:w="2131"/>
        <w:gridCol w:w="2131"/>
        <w:gridCol w:w="2131"/>
        <w:gridCol w:w="2131"/>
        <w:gridCol w:w="2131"/>
      </w:tblGrid>
      <w:tr>
        <w:trPr>
          <w:tblHeader w:val="true"/>
        </w:trPr>
        <w:tc>
          <w:tcPr>
            <w:tcW w:type="dxa" w:w="2131"/>
            <w:shd w:fill="0A64BC"/>
            <w:vAlign w:val="top"/>
          </w:tcPr>
          <w:p>
            <w:pPr>
              <w:spacing w:after="0"/>
            </w:pPr>
            <w:r/>
            <w:r>
              <w:rPr>
                <w:rFonts w:ascii="Aptos" w:hAnsi="Aptos"/>
                <w:b/>
                <w:color w:val="FFFFFF"/>
                <w:sz w:val="14"/>
              </w:rPr>
              <w:t>Stress moment</w:t>
            </w:r>
          </w:p>
        </w:tc>
        <w:tc>
          <w:tcPr>
            <w:tcW w:type="dxa" w:w="2131"/>
            <w:shd w:fill="0A64BC"/>
            <w:vAlign w:val="top"/>
          </w:tcPr>
          <w:p>
            <w:pPr>
              <w:spacing w:after="0"/>
            </w:pPr>
            <w:r/>
            <w:r>
              <w:rPr>
                <w:rFonts w:ascii="Aptos" w:hAnsi="Aptos"/>
                <w:b/>
                <w:color w:val="FFFFFF"/>
                <w:sz w:val="14"/>
              </w:rPr>
              <w:t>What is moving?</w:t>
            </w:r>
          </w:p>
        </w:tc>
        <w:tc>
          <w:tcPr>
            <w:tcW w:type="dxa" w:w="2131"/>
            <w:shd w:fill="0A64BC"/>
            <w:vAlign w:val="top"/>
          </w:tcPr>
          <w:p>
            <w:pPr>
              <w:spacing w:after="0"/>
            </w:pPr>
            <w:r/>
            <w:r>
              <w:rPr>
                <w:rFonts w:ascii="Aptos" w:hAnsi="Aptos"/>
                <w:b/>
                <w:color w:val="FFFFFF"/>
                <w:sz w:val="14"/>
              </w:rPr>
              <w:t>Where is the pinch point?</w:t>
            </w:r>
          </w:p>
        </w:tc>
        <w:tc>
          <w:tcPr>
            <w:tcW w:type="dxa" w:w="2131"/>
            <w:shd w:fill="0A64BC"/>
            <w:vAlign w:val="top"/>
          </w:tcPr>
          <w:p>
            <w:pPr>
              <w:spacing w:after="0"/>
            </w:pPr>
            <w:r/>
            <w:r>
              <w:rPr>
                <w:rFonts w:ascii="Aptos" w:hAnsi="Aptos"/>
                <w:b/>
                <w:color w:val="FFFFFF"/>
                <w:sz w:val="14"/>
              </w:rPr>
              <w:t>Risk created</w:t>
            </w:r>
          </w:p>
        </w:tc>
        <w:tc>
          <w:tcPr>
            <w:tcW w:type="dxa" w:w="2131"/>
            <w:shd w:fill="0A64BC"/>
            <w:vAlign w:val="top"/>
          </w:tcPr>
          <w:p>
            <w:pPr>
              <w:spacing w:after="0"/>
            </w:pPr>
            <w:r/>
            <w:r>
              <w:rPr>
                <w:rFonts w:ascii="Aptos" w:hAnsi="Aptos"/>
                <w:b/>
                <w:color w:val="FFFFFF"/>
                <w:sz w:val="14"/>
              </w:rPr>
              <w:t>Design / operating response</w:t>
            </w:r>
          </w:p>
        </w:tc>
      </w:tr>
      <w:tr>
        <w:tc>
          <w:tcPr>
            <w:tcW w:type="dxa" w:w="2131"/>
            <w:vAlign w:val="top"/>
          </w:tcPr>
          <w:p>
            <w:pPr>
              <w:spacing w:after="0"/>
            </w:pPr>
            <w:r/>
            <w:r>
              <w:rPr>
                <w:rFonts w:ascii="Aptos" w:hAnsi="Aptos"/>
                <w:b w:val="0"/>
                <w:sz w:val="14"/>
              </w:rPr>
              <w:t>Med pass</w:t>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r>
      <w:tr>
        <w:tc>
          <w:tcPr>
            <w:tcW w:type="dxa" w:w="2131"/>
            <w:vAlign w:val="top"/>
          </w:tcPr>
          <w:p>
            <w:pPr>
              <w:spacing w:after="0"/>
            </w:pPr>
            <w:r/>
            <w:r>
              <w:rPr>
                <w:rFonts w:ascii="Aptos" w:hAnsi="Aptos"/>
                <w:b w:val="0"/>
                <w:sz w:val="14"/>
              </w:rPr>
              <w:t>Meals / dining</w:t>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r>
      <w:tr>
        <w:tc>
          <w:tcPr>
            <w:tcW w:type="dxa" w:w="2131"/>
            <w:vAlign w:val="top"/>
          </w:tcPr>
          <w:p>
            <w:pPr>
              <w:spacing w:after="0"/>
            </w:pPr>
            <w:r/>
            <w:r>
              <w:rPr>
                <w:rFonts w:ascii="Aptos" w:hAnsi="Aptos"/>
                <w:b w:val="0"/>
                <w:sz w:val="14"/>
              </w:rPr>
              <w:t>Bathing / personal care</w:t>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r>
      <w:tr>
        <w:tc>
          <w:tcPr>
            <w:tcW w:type="dxa" w:w="2131"/>
            <w:vAlign w:val="top"/>
          </w:tcPr>
          <w:p>
            <w:pPr>
              <w:spacing w:after="0"/>
            </w:pPr>
            <w:r/>
            <w:r>
              <w:rPr>
                <w:rFonts w:ascii="Aptos" w:hAnsi="Aptos"/>
                <w:b w:val="0"/>
                <w:sz w:val="14"/>
              </w:rPr>
              <w:t>Laundry / soiled return</w:t>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r>
      <w:tr>
        <w:tc>
          <w:tcPr>
            <w:tcW w:type="dxa" w:w="2131"/>
            <w:vAlign w:val="top"/>
          </w:tcPr>
          <w:p>
            <w:pPr>
              <w:spacing w:after="0"/>
            </w:pPr>
            <w:r/>
            <w:r>
              <w:rPr>
                <w:rFonts w:ascii="Aptos" w:hAnsi="Aptos"/>
                <w:b w:val="0"/>
                <w:sz w:val="14"/>
              </w:rPr>
              <w:t>Admissions / visitors</w:t>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r>
      <w:tr>
        <w:tc>
          <w:tcPr>
            <w:tcW w:type="dxa" w:w="2131"/>
            <w:vAlign w:val="top"/>
          </w:tcPr>
          <w:p>
            <w:pPr>
              <w:spacing w:after="0"/>
            </w:pPr>
            <w:r/>
            <w:r>
              <w:rPr>
                <w:rFonts w:ascii="Aptos" w:hAnsi="Aptos"/>
                <w:b w:val="0"/>
                <w:sz w:val="14"/>
              </w:rPr>
              <w:t>Outbreak response or isolation event</w:t>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c>
          <w:tcPr>
            <w:tcW w:type="dxa" w:w="2131"/>
            <w:vAlign w:val="top"/>
          </w:tcPr>
          <w:p>
            <w:pPr>
              <w:spacing w:after="0"/>
            </w:pPr>
            <w:r/>
            <w:r>
              <w:rPr>
                <w:rFonts w:ascii="Aptos" w:hAnsi="Aptos"/>
                <w:b w:val="0"/>
                <w:sz w:val="14"/>
              </w:rPr>
            </w:r>
          </w:p>
        </w:tc>
      </w:tr>
    </w:tbl>
    <w:p>
      <w:pPr>
        <w:pStyle w:val="Heading1"/>
        <w:spacing w:before="160" w:after="80"/>
      </w:pPr>
      <w:r>
        <w:rPr>
          <w:rFonts w:ascii="Aptos Display" w:hAnsi="Aptos Display"/>
          <w:b/>
          <w:color w:val="0A64BC"/>
          <w:sz w:val="28"/>
        </w:rPr>
        <w:t>6. Occupied Renovation Infection-Prevention Prompts</w:t>
      </w:r>
    </w:p>
    <w:tbl>
      <w:tblPr>
        <w:tblStyle w:val="TableGrid"/>
        <w:tblW w:type="auto" w:w="0"/>
        <w:jc w:val="center"/>
        <w:tblLook w:firstColumn="1" w:firstRow="1" w:lastColumn="0" w:lastRow="0" w:noHBand="0" w:noVBand="1" w:val="04A0"/>
      </w:tblPr>
      <w:tblGrid>
        <w:gridCol w:w="2664"/>
        <w:gridCol w:w="2664"/>
        <w:gridCol w:w="2664"/>
        <w:gridCol w:w="2664"/>
      </w:tblGrid>
      <w:tr>
        <w:trPr>
          <w:tblHeader w:val="true"/>
        </w:trPr>
        <w:tc>
          <w:tcPr>
            <w:tcW w:type="dxa" w:w="2664"/>
            <w:shd w:fill="0A64BC"/>
            <w:vAlign w:val="top"/>
          </w:tcPr>
          <w:p>
            <w:pPr>
              <w:spacing w:after="0"/>
            </w:pPr>
            <w:r/>
            <w:r>
              <w:rPr>
                <w:rFonts w:ascii="Aptos" w:hAnsi="Aptos"/>
                <w:b/>
                <w:color w:val="FFFFFF"/>
                <w:sz w:val="15"/>
              </w:rPr>
              <w:t>Prompt</w:t>
            </w:r>
          </w:p>
        </w:tc>
        <w:tc>
          <w:tcPr>
            <w:tcW w:type="dxa" w:w="2664"/>
            <w:shd w:fill="0A64BC"/>
            <w:vAlign w:val="top"/>
          </w:tcPr>
          <w:p>
            <w:pPr>
              <w:spacing w:after="0"/>
            </w:pPr>
            <w:r/>
            <w:r>
              <w:rPr>
                <w:rFonts w:ascii="Aptos" w:hAnsi="Aptos"/>
                <w:b/>
                <w:color w:val="FFFFFF"/>
                <w:sz w:val="15"/>
              </w:rPr>
              <w:t>Decision needed</w:t>
            </w:r>
          </w:p>
        </w:tc>
        <w:tc>
          <w:tcPr>
            <w:tcW w:type="dxa" w:w="2664"/>
            <w:shd w:fill="0A64BC"/>
            <w:vAlign w:val="top"/>
          </w:tcPr>
          <w:p>
            <w:pPr>
              <w:spacing w:after="0"/>
            </w:pPr>
            <w:r/>
            <w:r>
              <w:rPr>
                <w:rFonts w:ascii="Aptos" w:hAnsi="Aptos"/>
                <w:b/>
                <w:color w:val="FFFFFF"/>
                <w:sz w:val="15"/>
              </w:rPr>
              <w:t>Who confirms?</w:t>
            </w:r>
          </w:p>
        </w:tc>
        <w:tc>
          <w:tcPr>
            <w:tcW w:type="dxa" w:w="2664"/>
            <w:shd w:fill="0A64BC"/>
            <w:vAlign w:val="top"/>
          </w:tcPr>
          <w:p>
            <w:pPr>
              <w:spacing w:after="0"/>
            </w:pPr>
            <w:r/>
            <w:r>
              <w:rPr>
                <w:rFonts w:ascii="Aptos" w:hAnsi="Aptos"/>
                <w:b/>
                <w:color w:val="FFFFFF"/>
                <w:sz w:val="15"/>
              </w:rPr>
              <w:t>Status</w:t>
            </w:r>
          </w:p>
        </w:tc>
      </w:tr>
      <w:tr>
        <w:tc>
          <w:tcPr>
            <w:tcW w:type="dxa" w:w="2664"/>
            <w:vAlign w:val="top"/>
          </w:tcPr>
          <w:p>
            <w:pPr>
              <w:spacing w:after="0"/>
            </w:pPr>
            <w:r/>
            <w:r>
              <w:rPr>
                <w:rFonts w:ascii="Aptos" w:hAnsi="Aptos"/>
                <w:b w:val="0"/>
                <w:sz w:val="14"/>
              </w:rPr>
              <w:t>Is an ICRA required or recommended? ICRA = Infection Control Risk Assessment.</w:t>
            </w:r>
          </w:p>
        </w:tc>
        <w:tc>
          <w:tcPr>
            <w:tcW w:type="dxa" w:w="2664"/>
            <w:vAlign w:val="top"/>
          </w:tcPr>
          <w:p>
            <w:pPr>
              <w:spacing w:after="0"/>
            </w:pPr>
            <w:r/>
            <w:r>
              <w:rPr>
                <w:rFonts w:ascii="Aptos" w:hAnsi="Aptos"/>
                <w:b w:val="0"/>
                <w:sz w:val="14"/>
              </w:rPr>
            </w:r>
          </w:p>
        </w:tc>
        <w:tc>
          <w:tcPr>
            <w:tcW w:type="dxa" w:w="2664"/>
            <w:vAlign w:val="top"/>
          </w:tcPr>
          <w:p>
            <w:pPr>
              <w:spacing w:after="0"/>
            </w:pPr>
            <w:r/>
            <w:r>
              <w:rPr>
                <w:rFonts w:ascii="Aptos" w:hAnsi="Aptos"/>
                <w:b w:val="0"/>
                <w:sz w:val="14"/>
              </w:rPr>
            </w:r>
          </w:p>
        </w:tc>
        <w:tc>
          <w:tcPr>
            <w:tcW w:type="dxa" w:w="2664"/>
            <w:vAlign w:val="top"/>
          </w:tcPr>
          <w:p>
            <w:pPr>
              <w:spacing w:after="0"/>
            </w:pPr>
            <w:r/>
            <w:r>
              <w:rPr>
                <w:rFonts w:ascii="Aptos" w:hAnsi="Aptos"/>
                <w:b w:val="0"/>
                <w:sz w:val="14"/>
              </w:rPr>
            </w:r>
          </w:p>
        </w:tc>
      </w:tr>
      <w:tr>
        <w:tc>
          <w:tcPr>
            <w:tcW w:type="dxa" w:w="2664"/>
            <w:vAlign w:val="top"/>
          </w:tcPr>
          <w:p>
            <w:pPr>
              <w:spacing w:after="0"/>
            </w:pPr>
            <w:r/>
            <w:r>
              <w:rPr>
                <w:rFonts w:ascii="Aptos" w:hAnsi="Aptos"/>
                <w:b w:val="0"/>
                <w:sz w:val="14"/>
              </w:rPr>
              <w:t>Where are temporary construction barriers and pressure/dust controls located?</w:t>
            </w:r>
          </w:p>
        </w:tc>
        <w:tc>
          <w:tcPr>
            <w:tcW w:type="dxa" w:w="2664"/>
            <w:vAlign w:val="top"/>
          </w:tcPr>
          <w:p>
            <w:pPr>
              <w:spacing w:after="0"/>
            </w:pPr>
            <w:r/>
            <w:r>
              <w:rPr>
                <w:rFonts w:ascii="Aptos" w:hAnsi="Aptos"/>
                <w:b w:val="0"/>
                <w:sz w:val="14"/>
              </w:rPr>
            </w:r>
          </w:p>
        </w:tc>
        <w:tc>
          <w:tcPr>
            <w:tcW w:type="dxa" w:w="2664"/>
            <w:vAlign w:val="top"/>
          </w:tcPr>
          <w:p>
            <w:pPr>
              <w:spacing w:after="0"/>
            </w:pPr>
            <w:r/>
            <w:r>
              <w:rPr>
                <w:rFonts w:ascii="Aptos" w:hAnsi="Aptos"/>
                <w:b w:val="0"/>
                <w:sz w:val="14"/>
              </w:rPr>
            </w:r>
          </w:p>
        </w:tc>
        <w:tc>
          <w:tcPr>
            <w:tcW w:type="dxa" w:w="2664"/>
            <w:vAlign w:val="top"/>
          </w:tcPr>
          <w:p>
            <w:pPr>
              <w:spacing w:after="0"/>
            </w:pPr>
            <w:r/>
            <w:r>
              <w:rPr>
                <w:rFonts w:ascii="Aptos" w:hAnsi="Aptos"/>
                <w:b w:val="0"/>
                <w:sz w:val="14"/>
              </w:rPr>
            </w:r>
          </w:p>
        </w:tc>
      </w:tr>
      <w:tr>
        <w:tc>
          <w:tcPr>
            <w:tcW w:type="dxa" w:w="2664"/>
            <w:vAlign w:val="top"/>
          </w:tcPr>
          <w:p>
            <w:pPr>
              <w:spacing w:after="0"/>
            </w:pPr>
            <w:r/>
            <w:r>
              <w:rPr>
                <w:rFonts w:ascii="Aptos" w:hAnsi="Aptos"/>
                <w:b w:val="0"/>
                <w:sz w:val="14"/>
              </w:rPr>
              <w:t>How are construction workers, materials, and waste routed?</w:t>
            </w:r>
          </w:p>
        </w:tc>
        <w:tc>
          <w:tcPr>
            <w:tcW w:type="dxa" w:w="2664"/>
            <w:vAlign w:val="top"/>
          </w:tcPr>
          <w:p>
            <w:pPr>
              <w:spacing w:after="0"/>
            </w:pPr>
            <w:r/>
            <w:r>
              <w:rPr>
                <w:rFonts w:ascii="Aptos" w:hAnsi="Aptos"/>
                <w:b w:val="0"/>
                <w:sz w:val="14"/>
              </w:rPr>
            </w:r>
          </w:p>
        </w:tc>
        <w:tc>
          <w:tcPr>
            <w:tcW w:type="dxa" w:w="2664"/>
            <w:vAlign w:val="top"/>
          </w:tcPr>
          <w:p>
            <w:pPr>
              <w:spacing w:after="0"/>
            </w:pPr>
            <w:r/>
            <w:r>
              <w:rPr>
                <w:rFonts w:ascii="Aptos" w:hAnsi="Aptos"/>
                <w:b w:val="0"/>
                <w:sz w:val="14"/>
              </w:rPr>
            </w:r>
          </w:p>
        </w:tc>
        <w:tc>
          <w:tcPr>
            <w:tcW w:type="dxa" w:w="2664"/>
            <w:vAlign w:val="top"/>
          </w:tcPr>
          <w:p>
            <w:pPr>
              <w:spacing w:after="0"/>
            </w:pPr>
            <w:r/>
            <w:r>
              <w:rPr>
                <w:rFonts w:ascii="Aptos" w:hAnsi="Aptos"/>
                <w:b w:val="0"/>
                <w:sz w:val="14"/>
              </w:rPr>
            </w:r>
          </w:p>
        </w:tc>
      </w:tr>
      <w:tr>
        <w:tc>
          <w:tcPr>
            <w:tcW w:type="dxa" w:w="2664"/>
            <w:vAlign w:val="top"/>
          </w:tcPr>
          <w:p>
            <w:pPr>
              <w:spacing w:after="0"/>
            </w:pPr>
            <w:r/>
            <w:r>
              <w:rPr>
                <w:rFonts w:ascii="Aptos" w:hAnsi="Aptos"/>
                <w:b w:val="0"/>
                <w:sz w:val="14"/>
              </w:rPr>
              <w:t>How are clean care zones protected during work?</w:t>
            </w:r>
          </w:p>
        </w:tc>
        <w:tc>
          <w:tcPr>
            <w:tcW w:type="dxa" w:w="2664"/>
            <w:vAlign w:val="top"/>
          </w:tcPr>
          <w:p>
            <w:pPr>
              <w:spacing w:after="0"/>
            </w:pPr>
            <w:r/>
            <w:r>
              <w:rPr>
                <w:rFonts w:ascii="Aptos" w:hAnsi="Aptos"/>
                <w:b w:val="0"/>
                <w:sz w:val="14"/>
              </w:rPr>
            </w:r>
          </w:p>
        </w:tc>
        <w:tc>
          <w:tcPr>
            <w:tcW w:type="dxa" w:w="2664"/>
            <w:vAlign w:val="top"/>
          </w:tcPr>
          <w:p>
            <w:pPr>
              <w:spacing w:after="0"/>
            </w:pPr>
            <w:r/>
            <w:r>
              <w:rPr>
                <w:rFonts w:ascii="Aptos" w:hAnsi="Aptos"/>
                <w:b w:val="0"/>
                <w:sz w:val="14"/>
              </w:rPr>
            </w:r>
          </w:p>
        </w:tc>
        <w:tc>
          <w:tcPr>
            <w:tcW w:type="dxa" w:w="2664"/>
            <w:vAlign w:val="top"/>
          </w:tcPr>
          <w:p>
            <w:pPr>
              <w:spacing w:after="0"/>
            </w:pPr>
            <w:r/>
            <w:r>
              <w:rPr>
                <w:rFonts w:ascii="Aptos" w:hAnsi="Aptos"/>
                <w:b w:val="0"/>
                <w:sz w:val="14"/>
              </w:rPr>
            </w:r>
          </w:p>
        </w:tc>
      </w:tr>
      <w:tr>
        <w:tc>
          <w:tcPr>
            <w:tcW w:type="dxa" w:w="2664"/>
            <w:vAlign w:val="top"/>
          </w:tcPr>
          <w:p>
            <w:pPr>
              <w:spacing w:after="0"/>
            </w:pPr>
            <w:r/>
            <w:r>
              <w:rPr>
                <w:rFonts w:ascii="Aptos" w:hAnsi="Aptos"/>
                <w:b w:val="0"/>
                <w:sz w:val="14"/>
              </w:rPr>
              <w:t>What work creates noise, dust, odor, vibration, or water shutoff risk?</w:t>
            </w:r>
          </w:p>
        </w:tc>
        <w:tc>
          <w:tcPr>
            <w:tcW w:type="dxa" w:w="2664"/>
            <w:vAlign w:val="top"/>
          </w:tcPr>
          <w:p>
            <w:pPr>
              <w:spacing w:after="0"/>
            </w:pPr>
            <w:r/>
            <w:r>
              <w:rPr>
                <w:rFonts w:ascii="Aptos" w:hAnsi="Aptos"/>
                <w:b w:val="0"/>
                <w:sz w:val="14"/>
              </w:rPr>
            </w:r>
          </w:p>
        </w:tc>
        <w:tc>
          <w:tcPr>
            <w:tcW w:type="dxa" w:w="2664"/>
            <w:vAlign w:val="top"/>
          </w:tcPr>
          <w:p>
            <w:pPr>
              <w:spacing w:after="0"/>
            </w:pPr>
            <w:r/>
            <w:r>
              <w:rPr>
                <w:rFonts w:ascii="Aptos" w:hAnsi="Aptos"/>
                <w:b w:val="0"/>
                <w:sz w:val="14"/>
              </w:rPr>
            </w:r>
          </w:p>
        </w:tc>
        <w:tc>
          <w:tcPr>
            <w:tcW w:type="dxa" w:w="2664"/>
            <w:vAlign w:val="top"/>
          </w:tcPr>
          <w:p>
            <w:pPr>
              <w:spacing w:after="0"/>
            </w:pPr>
            <w:r/>
            <w:r>
              <w:rPr>
                <w:rFonts w:ascii="Aptos" w:hAnsi="Aptos"/>
                <w:b w:val="0"/>
                <w:sz w:val="14"/>
              </w:rPr>
            </w:r>
          </w:p>
        </w:tc>
      </w:tr>
      <w:tr>
        <w:tc>
          <w:tcPr>
            <w:tcW w:type="dxa" w:w="2664"/>
            <w:vAlign w:val="top"/>
          </w:tcPr>
          <w:p>
            <w:pPr>
              <w:spacing w:after="0"/>
            </w:pPr>
            <w:r/>
            <w:r>
              <w:rPr>
                <w:rFonts w:ascii="Aptos" w:hAnsi="Aptos"/>
                <w:b w:val="0"/>
                <w:sz w:val="14"/>
              </w:rPr>
              <w:t>What staff communication is needed before each phase begins?</w:t>
            </w:r>
          </w:p>
        </w:tc>
        <w:tc>
          <w:tcPr>
            <w:tcW w:type="dxa" w:w="2664"/>
            <w:vAlign w:val="top"/>
          </w:tcPr>
          <w:p>
            <w:pPr>
              <w:spacing w:after="0"/>
            </w:pPr>
            <w:r/>
            <w:r>
              <w:rPr>
                <w:rFonts w:ascii="Aptos" w:hAnsi="Aptos"/>
                <w:b w:val="0"/>
                <w:sz w:val="14"/>
              </w:rPr>
            </w:r>
          </w:p>
        </w:tc>
        <w:tc>
          <w:tcPr>
            <w:tcW w:type="dxa" w:w="2664"/>
            <w:vAlign w:val="top"/>
          </w:tcPr>
          <w:p>
            <w:pPr>
              <w:spacing w:after="0"/>
            </w:pPr>
            <w:r/>
            <w:r>
              <w:rPr>
                <w:rFonts w:ascii="Aptos" w:hAnsi="Aptos"/>
                <w:b w:val="0"/>
                <w:sz w:val="14"/>
              </w:rPr>
            </w:r>
          </w:p>
        </w:tc>
        <w:tc>
          <w:tcPr>
            <w:tcW w:type="dxa" w:w="2664"/>
            <w:vAlign w:val="top"/>
          </w:tcPr>
          <w:p>
            <w:pPr>
              <w:spacing w:after="0"/>
            </w:pPr>
            <w:r/>
            <w:r>
              <w:rPr>
                <w:rFonts w:ascii="Aptos" w:hAnsi="Aptos"/>
                <w:b w:val="0"/>
                <w:sz w:val="14"/>
              </w:rPr>
            </w:r>
          </w:p>
        </w:tc>
      </w:tr>
      <w:tr>
        <w:tc>
          <w:tcPr>
            <w:tcW w:type="dxa" w:w="2664"/>
            <w:vAlign w:val="top"/>
          </w:tcPr>
          <w:p>
            <w:pPr>
              <w:spacing w:after="0"/>
            </w:pPr>
            <w:r/>
            <w:r>
              <w:rPr>
                <w:rFonts w:ascii="Aptos" w:hAnsi="Aptos"/>
                <w:b w:val="0"/>
                <w:sz w:val="14"/>
              </w:rPr>
              <w:t>What is the escalation path if controls fail during operations?</w:t>
            </w:r>
          </w:p>
        </w:tc>
        <w:tc>
          <w:tcPr>
            <w:tcW w:type="dxa" w:w="2664"/>
            <w:vAlign w:val="top"/>
          </w:tcPr>
          <w:p>
            <w:pPr>
              <w:spacing w:after="0"/>
            </w:pPr>
            <w:r/>
            <w:r>
              <w:rPr>
                <w:rFonts w:ascii="Aptos" w:hAnsi="Aptos"/>
                <w:b w:val="0"/>
                <w:sz w:val="14"/>
              </w:rPr>
            </w:r>
          </w:p>
        </w:tc>
        <w:tc>
          <w:tcPr>
            <w:tcW w:type="dxa" w:w="2664"/>
            <w:vAlign w:val="top"/>
          </w:tcPr>
          <w:p>
            <w:pPr>
              <w:spacing w:after="0"/>
            </w:pPr>
            <w:r/>
            <w:r>
              <w:rPr>
                <w:rFonts w:ascii="Aptos" w:hAnsi="Aptos"/>
                <w:b w:val="0"/>
                <w:sz w:val="14"/>
              </w:rPr>
            </w:r>
          </w:p>
        </w:tc>
        <w:tc>
          <w:tcPr>
            <w:tcW w:type="dxa" w:w="2664"/>
            <w:vAlign w:val="top"/>
          </w:tcPr>
          <w:p>
            <w:pPr>
              <w:spacing w:after="0"/>
            </w:pPr>
            <w:r/>
            <w:r>
              <w:rPr>
                <w:rFonts w:ascii="Aptos" w:hAnsi="Aptos"/>
                <w:b w:val="0"/>
                <w:sz w:val="14"/>
              </w:rPr>
            </w:r>
          </w:p>
        </w:tc>
      </w:tr>
    </w:tbl>
    <w:p>
      <w:pPr>
        <w:pStyle w:val="Heading1"/>
        <w:spacing w:before="160" w:after="80"/>
      </w:pPr>
      <w:r>
        <w:rPr>
          <w:rFonts w:ascii="Aptos Display" w:hAnsi="Aptos Display"/>
          <w:b/>
          <w:color w:val="0A64BC"/>
          <w:sz w:val="28"/>
        </w:rPr>
        <w:t>7. Layout GO / NO-GO Gate</w:t>
      </w:r>
    </w:p>
    <w:tbl>
      <w:tblPr>
        <w:tblW w:type="auto" w:w="0"/>
        <w:jc w:val="center"/>
        <w:tblLook w:firstColumn="1" w:firstRow="1" w:lastColumn="0" w:lastRow="0" w:noHBand="0" w:noVBand="1" w:val="04A0"/>
      </w:tblPr>
      <w:tblGrid>
        <w:gridCol w:w="10656"/>
      </w:tblGrid>
      <w:tr>
        <w:tc>
          <w:tcPr>
            <w:tcW w:type="dxa" w:w="10656"/>
            <w:shd w:fill="F4DDDD"/>
            <w:vAlign w:val="top"/>
          </w:tcPr>
          <w:p>
            <w:pPr>
              <w:spacing w:after="0"/>
            </w:pPr>
            <w:r/>
            <w:r>
              <w:rPr>
                <w:rFonts w:ascii="Aptos" w:hAnsi="Aptos"/>
                <w:b w:val="0"/>
                <w:sz w:val="17"/>
              </w:rPr>
            </w:r>
            <w:r>
              <w:rPr>
                <w:rFonts w:ascii="Aptos" w:hAnsi="Aptos"/>
                <w:b/>
                <w:color w:val="6E000A"/>
                <w:sz w:val="18"/>
              </w:rPr>
              <w:t>GO / NO-GO Rule</w:t>
            </w:r>
            <w:r>
              <w:br/>
            </w:r>
            <w:r>
              <w:rPr>
                <w:rFonts w:ascii="Aptos" w:hAnsi="Aptos"/>
                <w:sz w:val="17"/>
              </w:rPr>
              <w:t>GO only if high-risk flows are mapped, no-go crossings are resolved or mitigated, hand hygiene/PPE/soiled/clean support are placed intentionally, renovation controls are defined where applicable, and open infection-prevention risks are assigned with an owner and due date. If an open issue could change walls, doors, adjacencies, MEP assumptions, or phasing, do not lock the layout yet.</w:t>
            </w:r>
          </w:p>
        </w:tc>
      </w:tr>
    </w:tbl>
    <w:tbl>
      <w:tblPr>
        <w:tblStyle w:val="TableGrid"/>
        <w:tblW w:type="auto" w:w="0"/>
        <w:jc w:val="center"/>
        <w:tblLook w:firstColumn="1" w:firstRow="1" w:lastColumn="0" w:lastRow="0" w:noHBand="0" w:noVBand="1" w:val="04A0"/>
      </w:tblPr>
      <w:tblGrid>
        <w:gridCol w:w="2664"/>
        <w:gridCol w:w="2664"/>
        <w:gridCol w:w="2664"/>
        <w:gridCol w:w="2664"/>
      </w:tblGrid>
      <w:tr>
        <w:trPr>
          <w:tblHeader w:val="true"/>
        </w:trPr>
        <w:tc>
          <w:tcPr>
            <w:tcW w:type="dxa" w:w="2664"/>
            <w:shd w:fill="0A64BC"/>
            <w:vAlign w:val="top"/>
          </w:tcPr>
          <w:p>
            <w:pPr>
              <w:spacing w:after="0"/>
            </w:pPr>
            <w:r/>
            <w:r>
              <w:rPr>
                <w:rFonts w:ascii="Aptos" w:hAnsi="Aptos"/>
                <w:b/>
                <w:color w:val="FFFFFF"/>
                <w:sz w:val="15"/>
              </w:rPr>
              <w:t>Readiness item</w:t>
            </w:r>
          </w:p>
        </w:tc>
        <w:tc>
          <w:tcPr>
            <w:tcW w:type="dxa" w:w="2664"/>
            <w:shd w:fill="0A64BC"/>
            <w:vAlign w:val="top"/>
          </w:tcPr>
          <w:p>
            <w:pPr>
              <w:spacing w:after="0"/>
            </w:pPr>
            <w:r/>
            <w:r>
              <w:rPr>
                <w:rFonts w:ascii="Aptos" w:hAnsi="Aptos"/>
                <w:b/>
                <w:color w:val="FFFFFF"/>
                <w:sz w:val="15"/>
              </w:rPr>
              <w:t>Yes / No</w:t>
            </w:r>
          </w:p>
        </w:tc>
        <w:tc>
          <w:tcPr>
            <w:tcW w:type="dxa" w:w="2664"/>
            <w:shd w:fill="0A64BC"/>
            <w:vAlign w:val="top"/>
          </w:tcPr>
          <w:p>
            <w:pPr>
              <w:spacing w:after="0"/>
            </w:pPr>
            <w:r/>
            <w:r>
              <w:rPr>
                <w:rFonts w:ascii="Aptos" w:hAnsi="Aptos"/>
                <w:b/>
                <w:color w:val="FFFFFF"/>
                <w:sz w:val="15"/>
              </w:rPr>
              <w:t>Open risk</w:t>
            </w:r>
          </w:p>
        </w:tc>
        <w:tc>
          <w:tcPr>
            <w:tcW w:type="dxa" w:w="2664"/>
            <w:shd w:fill="0A64BC"/>
            <w:vAlign w:val="top"/>
          </w:tcPr>
          <w:p>
            <w:pPr>
              <w:spacing w:after="0"/>
            </w:pPr>
            <w:r/>
            <w:r>
              <w:rPr>
                <w:rFonts w:ascii="Aptos" w:hAnsi="Aptos"/>
                <w:b/>
                <w:color w:val="FFFFFF"/>
                <w:sz w:val="15"/>
              </w:rPr>
              <w:t>Owner + due date</w:t>
            </w:r>
          </w:p>
        </w:tc>
      </w:tr>
      <w:tr>
        <w:tc>
          <w:tcPr>
            <w:tcW w:type="dxa" w:w="2664"/>
            <w:vAlign w:val="top"/>
          </w:tcPr>
          <w:p>
            <w:pPr>
              <w:spacing w:after="0"/>
            </w:pPr>
            <w:r/>
            <w:r>
              <w:rPr>
                <w:rFonts w:ascii="Aptos" w:hAnsi="Aptos"/>
                <w:b w:val="0"/>
                <w:sz w:val="14"/>
              </w:rPr>
              <w:t>Infection-risk pathways are mapped.</w:t>
            </w:r>
          </w:p>
        </w:tc>
        <w:tc>
          <w:tcPr>
            <w:tcW w:type="dxa" w:w="2664"/>
            <w:vAlign w:val="top"/>
          </w:tcPr>
          <w:p>
            <w:pPr>
              <w:spacing w:after="0"/>
            </w:pPr>
            <w:r/>
            <w:r>
              <w:rPr>
                <w:rFonts w:ascii="Aptos" w:hAnsi="Aptos"/>
                <w:b w:val="0"/>
                <w:sz w:val="14"/>
              </w:rPr>
            </w:r>
          </w:p>
        </w:tc>
        <w:tc>
          <w:tcPr>
            <w:tcW w:type="dxa" w:w="2664"/>
            <w:vAlign w:val="top"/>
          </w:tcPr>
          <w:p>
            <w:pPr>
              <w:spacing w:after="0"/>
            </w:pPr>
            <w:r/>
            <w:r>
              <w:rPr>
                <w:rFonts w:ascii="Aptos" w:hAnsi="Aptos"/>
                <w:b w:val="0"/>
                <w:sz w:val="14"/>
              </w:rPr>
            </w:r>
          </w:p>
        </w:tc>
        <w:tc>
          <w:tcPr>
            <w:tcW w:type="dxa" w:w="2664"/>
            <w:vAlign w:val="top"/>
          </w:tcPr>
          <w:p>
            <w:pPr>
              <w:spacing w:after="0"/>
            </w:pPr>
            <w:r/>
            <w:r>
              <w:rPr>
                <w:rFonts w:ascii="Aptos" w:hAnsi="Aptos"/>
                <w:b w:val="0"/>
                <w:sz w:val="14"/>
              </w:rPr>
            </w:r>
          </w:p>
        </w:tc>
      </w:tr>
      <w:tr>
        <w:tc>
          <w:tcPr>
            <w:tcW w:type="dxa" w:w="2664"/>
            <w:vAlign w:val="top"/>
          </w:tcPr>
          <w:p>
            <w:pPr>
              <w:spacing w:after="0"/>
            </w:pPr>
            <w:r/>
            <w:r>
              <w:rPr>
                <w:rFonts w:ascii="Aptos" w:hAnsi="Aptos"/>
                <w:b w:val="0"/>
                <w:sz w:val="14"/>
              </w:rPr>
              <w:t>Clean and soiled flows are separated or controlled.</w:t>
            </w:r>
          </w:p>
        </w:tc>
        <w:tc>
          <w:tcPr>
            <w:tcW w:type="dxa" w:w="2664"/>
            <w:vAlign w:val="top"/>
          </w:tcPr>
          <w:p>
            <w:pPr>
              <w:spacing w:after="0"/>
            </w:pPr>
            <w:r/>
            <w:r>
              <w:rPr>
                <w:rFonts w:ascii="Aptos" w:hAnsi="Aptos"/>
                <w:b w:val="0"/>
                <w:sz w:val="14"/>
              </w:rPr>
            </w:r>
          </w:p>
        </w:tc>
        <w:tc>
          <w:tcPr>
            <w:tcW w:type="dxa" w:w="2664"/>
            <w:vAlign w:val="top"/>
          </w:tcPr>
          <w:p>
            <w:pPr>
              <w:spacing w:after="0"/>
            </w:pPr>
            <w:r/>
            <w:r>
              <w:rPr>
                <w:rFonts w:ascii="Aptos" w:hAnsi="Aptos"/>
                <w:b w:val="0"/>
                <w:sz w:val="14"/>
              </w:rPr>
            </w:r>
          </w:p>
        </w:tc>
        <w:tc>
          <w:tcPr>
            <w:tcW w:type="dxa" w:w="2664"/>
            <w:vAlign w:val="top"/>
          </w:tcPr>
          <w:p>
            <w:pPr>
              <w:spacing w:after="0"/>
            </w:pPr>
            <w:r/>
            <w:r>
              <w:rPr>
                <w:rFonts w:ascii="Aptos" w:hAnsi="Aptos"/>
                <w:b w:val="0"/>
                <w:sz w:val="14"/>
              </w:rPr>
            </w:r>
          </w:p>
        </w:tc>
      </w:tr>
      <w:tr>
        <w:tc>
          <w:tcPr>
            <w:tcW w:type="dxa" w:w="2664"/>
            <w:vAlign w:val="top"/>
          </w:tcPr>
          <w:p>
            <w:pPr>
              <w:spacing w:after="0"/>
            </w:pPr>
            <w:r/>
            <w:r>
              <w:rPr>
                <w:rFonts w:ascii="Aptos" w:hAnsi="Aptos"/>
                <w:b w:val="0"/>
                <w:sz w:val="14"/>
              </w:rPr>
              <w:t>Hand hygiene and PPE support are placed where work happens.</w:t>
            </w:r>
          </w:p>
        </w:tc>
        <w:tc>
          <w:tcPr>
            <w:tcW w:type="dxa" w:w="2664"/>
            <w:vAlign w:val="top"/>
          </w:tcPr>
          <w:p>
            <w:pPr>
              <w:spacing w:after="0"/>
            </w:pPr>
            <w:r/>
            <w:r>
              <w:rPr>
                <w:rFonts w:ascii="Aptos" w:hAnsi="Aptos"/>
                <w:b w:val="0"/>
                <w:sz w:val="14"/>
              </w:rPr>
            </w:r>
          </w:p>
        </w:tc>
        <w:tc>
          <w:tcPr>
            <w:tcW w:type="dxa" w:w="2664"/>
            <w:vAlign w:val="top"/>
          </w:tcPr>
          <w:p>
            <w:pPr>
              <w:spacing w:after="0"/>
            </w:pPr>
            <w:r/>
            <w:r>
              <w:rPr>
                <w:rFonts w:ascii="Aptos" w:hAnsi="Aptos"/>
                <w:b w:val="0"/>
                <w:sz w:val="14"/>
              </w:rPr>
            </w:r>
          </w:p>
        </w:tc>
        <w:tc>
          <w:tcPr>
            <w:tcW w:type="dxa" w:w="2664"/>
            <w:vAlign w:val="top"/>
          </w:tcPr>
          <w:p>
            <w:pPr>
              <w:spacing w:after="0"/>
            </w:pPr>
            <w:r/>
            <w:r>
              <w:rPr>
                <w:rFonts w:ascii="Aptos" w:hAnsi="Aptos"/>
                <w:b w:val="0"/>
                <w:sz w:val="14"/>
              </w:rPr>
            </w:r>
          </w:p>
        </w:tc>
      </w:tr>
      <w:tr>
        <w:tc>
          <w:tcPr>
            <w:tcW w:type="dxa" w:w="2664"/>
            <w:vAlign w:val="top"/>
          </w:tcPr>
          <w:p>
            <w:pPr>
              <w:spacing w:after="0"/>
            </w:pPr>
            <w:r/>
            <w:r>
              <w:rPr>
                <w:rFonts w:ascii="Aptos" w:hAnsi="Aptos"/>
                <w:b w:val="0"/>
                <w:sz w:val="14"/>
              </w:rPr>
              <w:t>Med, meal, waste, laundry, and visitor paths are tested at peak moments.</w:t>
            </w:r>
          </w:p>
        </w:tc>
        <w:tc>
          <w:tcPr>
            <w:tcW w:type="dxa" w:w="2664"/>
            <w:vAlign w:val="top"/>
          </w:tcPr>
          <w:p>
            <w:pPr>
              <w:spacing w:after="0"/>
            </w:pPr>
            <w:r/>
            <w:r>
              <w:rPr>
                <w:rFonts w:ascii="Aptos" w:hAnsi="Aptos"/>
                <w:b w:val="0"/>
                <w:sz w:val="14"/>
              </w:rPr>
            </w:r>
          </w:p>
        </w:tc>
        <w:tc>
          <w:tcPr>
            <w:tcW w:type="dxa" w:w="2664"/>
            <w:vAlign w:val="top"/>
          </w:tcPr>
          <w:p>
            <w:pPr>
              <w:spacing w:after="0"/>
            </w:pPr>
            <w:r/>
            <w:r>
              <w:rPr>
                <w:rFonts w:ascii="Aptos" w:hAnsi="Aptos"/>
                <w:b w:val="0"/>
                <w:sz w:val="14"/>
              </w:rPr>
            </w:r>
          </w:p>
        </w:tc>
        <w:tc>
          <w:tcPr>
            <w:tcW w:type="dxa" w:w="2664"/>
            <w:vAlign w:val="top"/>
          </w:tcPr>
          <w:p>
            <w:pPr>
              <w:spacing w:after="0"/>
            </w:pPr>
            <w:r/>
            <w:r>
              <w:rPr>
                <w:rFonts w:ascii="Aptos" w:hAnsi="Aptos"/>
                <w:b w:val="0"/>
                <w:sz w:val="14"/>
              </w:rPr>
            </w:r>
          </w:p>
        </w:tc>
      </w:tr>
      <w:tr>
        <w:tc>
          <w:tcPr>
            <w:tcW w:type="dxa" w:w="2664"/>
            <w:vAlign w:val="top"/>
          </w:tcPr>
          <w:p>
            <w:pPr>
              <w:spacing w:after="0"/>
            </w:pPr>
            <w:r/>
            <w:r>
              <w:rPr>
                <w:rFonts w:ascii="Aptos" w:hAnsi="Aptos"/>
                <w:b w:val="0"/>
                <w:sz w:val="14"/>
              </w:rPr>
              <w:t>High-risk rooms and wet areas have early facilities/MEP review.</w:t>
            </w:r>
          </w:p>
        </w:tc>
        <w:tc>
          <w:tcPr>
            <w:tcW w:type="dxa" w:w="2664"/>
            <w:vAlign w:val="top"/>
          </w:tcPr>
          <w:p>
            <w:pPr>
              <w:spacing w:after="0"/>
            </w:pPr>
            <w:r/>
            <w:r>
              <w:rPr>
                <w:rFonts w:ascii="Aptos" w:hAnsi="Aptos"/>
                <w:b w:val="0"/>
                <w:sz w:val="14"/>
              </w:rPr>
            </w:r>
          </w:p>
        </w:tc>
        <w:tc>
          <w:tcPr>
            <w:tcW w:type="dxa" w:w="2664"/>
            <w:vAlign w:val="top"/>
          </w:tcPr>
          <w:p>
            <w:pPr>
              <w:spacing w:after="0"/>
            </w:pPr>
            <w:r/>
            <w:r>
              <w:rPr>
                <w:rFonts w:ascii="Aptos" w:hAnsi="Aptos"/>
                <w:b w:val="0"/>
                <w:sz w:val="14"/>
              </w:rPr>
            </w:r>
          </w:p>
        </w:tc>
        <w:tc>
          <w:tcPr>
            <w:tcW w:type="dxa" w:w="2664"/>
            <w:vAlign w:val="top"/>
          </w:tcPr>
          <w:p>
            <w:pPr>
              <w:spacing w:after="0"/>
            </w:pPr>
            <w:r/>
            <w:r>
              <w:rPr>
                <w:rFonts w:ascii="Aptos" w:hAnsi="Aptos"/>
                <w:b w:val="0"/>
                <w:sz w:val="14"/>
              </w:rPr>
            </w:r>
          </w:p>
        </w:tc>
      </w:tr>
      <w:tr>
        <w:tc>
          <w:tcPr>
            <w:tcW w:type="dxa" w:w="2664"/>
            <w:vAlign w:val="top"/>
          </w:tcPr>
          <w:p>
            <w:pPr>
              <w:spacing w:after="0"/>
            </w:pPr>
            <w:r/>
            <w:r>
              <w:rPr>
                <w:rFonts w:ascii="Aptos" w:hAnsi="Aptos"/>
                <w:b w:val="0"/>
                <w:sz w:val="14"/>
              </w:rPr>
              <w:t>Occupied renovation controls are defined if applicable.</w:t>
            </w:r>
          </w:p>
        </w:tc>
        <w:tc>
          <w:tcPr>
            <w:tcW w:type="dxa" w:w="2664"/>
            <w:vAlign w:val="top"/>
          </w:tcPr>
          <w:p>
            <w:pPr>
              <w:spacing w:after="0"/>
            </w:pPr>
            <w:r/>
            <w:r>
              <w:rPr>
                <w:rFonts w:ascii="Aptos" w:hAnsi="Aptos"/>
                <w:b w:val="0"/>
                <w:sz w:val="14"/>
              </w:rPr>
            </w:r>
          </w:p>
        </w:tc>
        <w:tc>
          <w:tcPr>
            <w:tcW w:type="dxa" w:w="2664"/>
            <w:vAlign w:val="top"/>
          </w:tcPr>
          <w:p>
            <w:pPr>
              <w:spacing w:after="0"/>
            </w:pPr>
            <w:r/>
            <w:r>
              <w:rPr>
                <w:rFonts w:ascii="Aptos" w:hAnsi="Aptos"/>
                <w:b w:val="0"/>
                <w:sz w:val="14"/>
              </w:rPr>
            </w:r>
          </w:p>
        </w:tc>
        <w:tc>
          <w:tcPr>
            <w:tcW w:type="dxa" w:w="2664"/>
            <w:vAlign w:val="top"/>
          </w:tcPr>
          <w:p>
            <w:pPr>
              <w:spacing w:after="0"/>
            </w:pPr>
            <w:r/>
            <w:r>
              <w:rPr>
                <w:rFonts w:ascii="Aptos" w:hAnsi="Aptos"/>
                <w:b w:val="0"/>
                <w:sz w:val="14"/>
              </w:rPr>
            </w:r>
          </w:p>
        </w:tc>
      </w:tr>
      <w:tr>
        <w:tc>
          <w:tcPr>
            <w:tcW w:type="dxa" w:w="2664"/>
            <w:vAlign w:val="top"/>
          </w:tcPr>
          <w:p>
            <w:pPr>
              <w:spacing w:after="0"/>
            </w:pPr>
            <w:r/>
            <w:r>
              <w:rPr>
                <w:rFonts w:ascii="Aptos" w:hAnsi="Aptos"/>
                <w:b w:val="0"/>
                <w:sz w:val="14"/>
              </w:rPr>
              <w:t>Clinical, facilities, infection prevention, and construction leads agree on open risks.</w:t>
            </w:r>
          </w:p>
        </w:tc>
        <w:tc>
          <w:tcPr>
            <w:tcW w:type="dxa" w:w="2664"/>
            <w:vAlign w:val="top"/>
          </w:tcPr>
          <w:p>
            <w:pPr>
              <w:spacing w:after="0"/>
            </w:pPr>
            <w:r/>
            <w:r>
              <w:rPr>
                <w:rFonts w:ascii="Aptos" w:hAnsi="Aptos"/>
                <w:b w:val="0"/>
                <w:sz w:val="14"/>
              </w:rPr>
            </w:r>
          </w:p>
        </w:tc>
        <w:tc>
          <w:tcPr>
            <w:tcW w:type="dxa" w:w="2664"/>
            <w:vAlign w:val="top"/>
          </w:tcPr>
          <w:p>
            <w:pPr>
              <w:spacing w:after="0"/>
            </w:pPr>
            <w:r/>
            <w:r>
              <w:rPr>
                <w:rFonts w:ascii="Aptos" w:hAnsi="Aptos"/>
                <w:b w:val="0"/>
                <w:sz w:val="14"/>
              </w:rPr>
            </w:r>
          </w:p>
        </w:tc>
        <w:tc>
          <w:tcPr>
            <w:tcW w:type="dxa" w:w="2664"/>
            <w:vAlign w:val="top"/>
          </w:tcPr>
          <w:p>
            <w:pPr>
              <w:spacing w:after="0"/>
            </w:pPr>
            <w:r/>
            <w:r>
              <w:rPr>
                <w:rFonts w:ascii="Aptos" w:hAnsi="Aptos"/>
                <w:b w:val="0"/>
                <w:sz w:val="14"/>
              </w:rPr>
            </w:r>
          </w:p>
        </w:tc>
      </w:tr>
      <w:tr>
        <w:tc>
          <w:tcPr>
            <w:tcW w:type="dxa" w:w="2664"/>
            <w:vAlign w:val="top"/>
          </w:tcPr>
          <w:p>
            <w:pPr>
              <w:spacing w:after="0"/>
            </w:pPr>
            <w:r/>
            <w:r>
              <w:rPr>
                <w:rFonts w:ascii="Aptos" w:hAnsi="Aptos"/>
                <w:b w:val="0"/>
                <w:sz w:val="14"/>
              </w:rPr>
              <w:t>No open issue would change layout, doors, adjacencies, MEP, or phasing.</w:t>
            </w:r>
          </w:p>
        </w:tc>
        <w:tc>
          <w:tcPr>
            <w:tcW w:type="dxa" w:w="2664"/>
            <w:vAlign w:val="top"/>
          </w:tcPr>
          <w:p>
            <w:pPr>
              <w:spacing w:after="0"/>
            </w:pPr>
            <w:r/>
            <w:r>
              <w:rPr>
                <w:rFonts w:ascii="Aptos" w:hAnsi="Aptos"/>
                <w:b w:val="0"/>
                <w:sz w:val="14"/>
              </w:rPr>
            </w:r>
          </w:p>
        </w:tc>
        <w:tc>
          <w:tcPr>
            <w:tcW w:type="dxa" w:w="2664"/>
            <w:vAlign w:val="top"/>
          </w:tcPr>
          <w:p>
            <w:pPr>
              <w:spacing w:after="0"/>
            </w:pPr>
            <w:r/>
            <w:r>
              <w:rPr>
                <w:rFonts w:ascii="Aptos" w:hAnsi="Aptos"/>
                <w:b w:val="0"/>
                <w:sz w:val="14"/>
              </w:rPr>
            </w:r>
          </w:p>
        </w:tc>
        <w:tc>
          <w:tcPr>
            <w:tcW w:type="dxa" w:w="2664"/>
            <w:vAlign w:val="top"/>
          </w:tcPr>
          <w:p>
            <w:pPr>
              <w:spacing w:after="0"/>
            </w:pPr>
            <w:r/>
            <w:r>
              <w:rPr>
                <w:rFonts w:ascii="Aptos" w:hAnsi="Aptos"/>
                <w:b w:val="0"/>
                <w:sz w:val="14"/>
              </w:rPr>
            </w:r>
          </w:p>
        </w:tc>
      </w:tr>
    </w:tbl>
    <w:sectPr w:rsidR="00FC693F" w:rsidRPr="0006063C" w:rsidSect="00034616">
      <w:headerReference w:type="default" r:id="rId9"/>
      <w:footerReference w:type="default" r:id="rId10"/>
      <w:pgSz w:w="12240" w:h="15840"/>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56F70"/>
        <w:sz w:val="14"/>
      </w:rPr>
      <w:t>Areté Architecture | Predictability-first planning for long-term care projects | www.arete-architecture.design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756F70"/>
        <w:sz w:val="16"/>
      </w:rPr>
      <w:t>Areté Architecture | LTC-08 Tool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6788F6059FF0C468EA9CBB4B267EED8" ma:contentTypeVersion="14" ma:contentTypeDescription="Create a new document." ma:contentTypeScope="" ma:versionID="0330f27917949ef3c75dc8b546faa1a8">
  <xsd:schema xmlns:xsd="http://www.w3.org/2001/XMLSchema" xmlns:xs="http://www.w3.org/2001/XMLSchema" xmlns:p="http://schemas.microsoft.com/office/2006/metadata/properties" xmlns:ns2="8c91b646-3776-4fce-85f8-fbc4da2bb054" xmlns:ns3="23b110a3-f11a-4f4b-8850-abbb1cf9765a" targetNamespace="http://schemas.microsoft.com/office/2006/metadata/properties" ma:root="true" ma:fieldsID="de3f7c4251e30a95c01ba4024274a219" ns2:_="" ns3:_="">
    <xsd:import namespace="8c91b646-3776-4fce-85f8-fbc4da2bb054"/>
    <xsd:import namespace="23b110a3-f11a-4f4b-8850-abbb1cf976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91b646-3776-4fce-85f8-fbc4da2bb0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4108bad-dcfa-41f7-a724-1c0fce7a3c3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b110a3-f11a-4f4b-8850-abbb1cf976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4ccfbd-af29-4f15-b8ad-2d7714a901e4}" ma:internalName="TaxCatchAll" ma:showField="CatchAllData" ma:web="23b110a3-f11a-4f4b-8850-abbb1cf976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c91b646-3776-4fce-85f8-fbc4da2bb054">
      <Terms xmlns="http://schemas.microsoft.com/office/infopath/2007/PartnerControls"/>
    </lcf76f155ced4ddcb4097134ff3c332f>
    <TaxCatchAll xmlns="23b110a3-f11a-4f4b-8850-abbb1cf9765a"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76815A8-9F0C-42BA-93FB-F1E5C50AB06F}"/>
</file>

<file path=customXml/itemProps3.xml><?xml version="1.0" encoding="utf-8"?>
<ds:datastoreItem xmlns:ds="http://schemas.openxmlformats.org/officeDocument/2006/customXml" ds:itemID="{86940E0B-46F4-4138-A18A-4B2C338B6C29}"/>
</file>

<file path=customXml/itemProps4.xml><?xml version="1.0" encoding="utf-8"?>
<ds:datastoreItem xmlns:ds="http://schemas.openxmlformats.org/officeDocument/2006/customXml" ds:itemID="{312BCB93-A5A6-4407-8DD8-8B3F6C560983}"/>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LTC-08 IPLC Infection Prevention Layout Canvas</dc:title>
  <dc:subject>Editable worksheet for LTC-08</dc:subject>
  <dc:creator>Areté Architecture</dc:creator>
  <cp:keywords>long-term care, infection prevention, layout, healthcare design</cp:keywords>
  <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0x01010096788F6059FF0C468EA9CBB4B267EED8</vt:lpwstr>
  </property>
</Properties>
</file>