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A9F58" w14:textId="77777777" w:rsidR="00E20142" w:rsidRDefault="002153E8">
      <w:pPr>
        <w:spacing w:after="40"/>
        <w:jc w:val="center"/>
      </w:pPr>
      <w:r>
        <w:rPr>
          <w:rFonts w:ascii="Aptos Display" w:hAnsi="Aptos Display"/>
          <w:color w:val="756F70"/>
          <w:sz w:val="24"/>
        </w:rPr>
        <w:t>Areté Architecture</w:t>
      </w:r>
    </w:p>
    <w:p w14:paraId="6A5FD9C5" w14:textId="77777777" w:rsidR="00E20142" w:rsidRDefault="002153E8">
      <w:pPr>
        <w:spacing w:after="0"/>
        <w:jc w:val="center"/>
      </w:pPr>
      <w:r>
        <w:rPr>
          <w:rFonts w:ascii="Aptos Display" w:hAnsi="Aptos Display"/>
          <w:b/>
          <w:color w:val="6E000A"/>
          <w:sz w:val="44"/>
        </w:rPr>
        <w:t>LTC-10 Budget Risk Map</w:t>
      </w:r>
    </w:p>
    <w:p w14:paraId="7A324809" w14:textId="77777777" w:rsidR="00E20142" w:rsidRDefault="002153E8">
      <w:pPr>
        <w:spacing w:after="160"/>
        <w:jc w:val="center"/>
      </w:pPr>
      <w:r>
        <w:rPr>
          <w:i/>
          <w:color w:val="505050"/>
          <w:sz w:val="20"/>
        </w:rPr>
        <w:t>Identify hidden project risks before they become budget resets.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9216"/>
      </w:tblGrid>
      <w:tr w:rsidR="00E20142" w14:paraId="63EB96D4" w14:textId="77777777">
        <w:trPr>
          <w:jc w:val="center"/>
        </w:trPr>
        <w:tc>
          <w:tcPr>
            <w:tcW w:w="1944" w:type="dxa"/>
            <w:shd w:val="clear" w:color="auto" w:fill="6E000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6026991" w14:textId="77777777" w:rsidR="00E20142" w:rsidRDefault="002153E8">
            <w:pPr>
              <w:jc w:val="center"/>
            </w:pPr>
            <w:r>
              <w:rPr>
                <w:b/>
                <w:color w:val="FFFFFF"/>
                <w:sz w:val="18"/>
              </w:rPr>
              <w:t>Primary decision</w:t>
            </w:r>
          </w:p>
        </w:tc>
        <w:tc>
          <w:tcPr>
            <w:tcW w:w="9216" w:type="dxa"/>
            <w:shd w:val="clear" w:color="auto" w:fill="F4F6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598D9E2" w14:textId="77777777" w:rsidR="00E20142" w:rsidRDefault="002153E8">
            <w:r>
              <w:rPr>
                <w:sz w:val="18"/>
              </w:rPr>
              <w:t>Before you trust an LTC project budget, have you identified the operational, compliance, infrastructure, phasing, and continuity risks that could reset the number later?</w:t>
            </w:r>
          </w:p>
        </w:tc>
      </w:tr>
    </w:tbl>
    <w:p w14:paraId="60063A26" w14:textId="77777777" w:rsidR="00E20142" w:rsidRDefault="002153E8">
      <w:pPr>
        <w:spacing w:after="120" w:line="252" w:lineRule="auto"/>
      </w:pPr>
      <w:r>
        <w:rPr>
          <w:b/>
        </w:rPr>
        <w:t>How to use this worksheet:</w:t>
      </w:r>
      <w:r>
        <w:t xml:space="preserve"> Complete this before approving an early project budget, financing assumption, scope direction, or value-engineering path. The goal is not to make the budget larger. The goal is to make the budget honest enough to manage.</w:t>
      </w:r>
    </w:p>
    <w:p w14:paraId="69F1BCA9" w14:textId="77777777" w:rsidR="00E20142" w:rsidRDefault="002153E8">
      <w:pPr>
        <w:spacing w:before="200" w:after="80"/>
      </w:pPr>
      <w:r>
        <w:rPr>
          <w:rFonts w:ascii="Aptos Display" w:hAnsi="Aptos Display"/>
          <w:b/>
          <w:color w:val="0A64BC"/>
          <w:sz w:val="28"/>
        </w:rPr>
        <w:t>1. Project Budget Context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5"/>
        <w:gridCol w:w="2741"/>
        <w:gridCol w:w="2750"/>
        <w:gridCol w:w="2740"/>
      </w:tblGrid>
      <w:tr w:rsidR="00E20142" w14:paraId="709CAFEA" w14:textId="77777777">
        <w:trPr>
          <w:jc w:val="center"/>
        </w:trPr>
        <w:tc>
          <w:tcPr>
            <w:tcW w:w="2736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DF9F12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Project / facility</w:t>
            </w:r>
          </w:p>
        </w:tc>
        <w:tc>
          <w:tcPr>
            <w:tcW w:w="2808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E6632A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Budget stage</w:t>
            </w:r>
          </w:p>
        </w:tc>
        <w:tc>
          <w:tcPr>
            <w:tcW w:w="2808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76EBD8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Project type</w:t>
            </w:r>
          </w:p>
        </w:tc>
        <w:tc>
          <w:tcPr>
            <w:tcW w:w="2808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42900B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Primary decision date</w:t>
            </w:r>
          </w:p>
        </w:tc>
      </w:tr>
      <w:tr w:rsidR="00E20142" w14:paraId="66722FFA" w14:textId="77777777">
        <w:trPr>
          <w:jc w:val="center"/>
        </w:trPr>
        <w:tc>
          <w:tcPr>
            <w:tcW w:w="27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158D82" w14:textId="77777777" w:rsidR="00E20142" w:rsidRDefault="00E20142">
            <w:pPr>
              <w:spacing w:line="252" w:lineRule="auto"/>
            </w:pPr>
          </w:p>
        </w:tc>
        <w:tc>
          <w:tcPr>
            <w:tcW w:w="28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E2847A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ROM  □ SD  □ DD  □ Permit  □ Precon</w:t>
            </w:r>
          </w:p>
        </w:tc>
        <w:tc>
          <w:tcPr>
            <w:tcW w:w="28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010466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Reno  □ Expansion  □ Repositioning  □ Acquisition</w:t>
            </w:r>
          </w:p>
        </w:tc>
        <w:tc>
          <w:tcPr>
            <w:tcW w:w="28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12B338" w14:textId="77777777" w:rsidR="00E20142" w:rsidRDefault="00E20142">
            <w:pPr>
              <w:spacing w:line="252" w:lineRule="auto"/>
            </w:pPr>
          </w:p>
        </w:tc>
      </w:tr>
      <w:tr w:rsidR="00E20142" w14:paraId="0BDA8EFF" w14:textId="77777777">
        <w:trPr>
          <w:jc w:val="center"/>
        </w:trPr>
        <w:tc>
          <w:tcPr>
            <w:tcW w:w="2736" w:type="dxa"/>
            <w:shd w:val="clear" w:color="auto" w:fill="E9EE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A77258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Target scope</w:t>
            </w:r>
          </w:p>
        </w:tc>
        <w:tc>
          <w:tcPr>
            <w:tcW w:w="2808" w:type="dxa"/>
            <w:shd w:val="clear" w:color="auto" w:fill="E9EE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DA82B8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Target schedule / milestone</w:t>
            </w:r>
          </w:p>
        </w:tc>
        <w:tc>
          <w:tcPr>
            <w:tcW w:w="2808" w:type="dxa"/>
            <w:shd w:val="clear" w:color="auto" w:fill="E9EE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D5A423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Current budget range</w:t>
            </w:r>
          </w:p>
        </w:tc>
        <w:tc>
          <w:tcPr>
            <w:tcW w:w="2808" w:type="dxa"/>
            <w:shd w:val="clear" w:color="auto" w:fill="E9EE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069DA5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Known funding constraint</w:t>
            </w:r>
          </w:p>
        </w:tc>
      </w:tr>
      <w:tr w:rsidR="00E20142" w14:paraId="3051E361" w14:textId="77777777">
        <w:trPr>
          <w:jc w:val="center"/>
        </w:trPr>
        <w:tc>
          <w:tcPr>
            <w:tcW w:w="27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AC8E1F" w14:textId="77777777" w:rsidR="00E20142" w:rsidRDefault="00E20142">
            <w:pPr>
              <w:spacing w:line="252" w:lineRule="auto"/>
            </w:pPr>
          </w:p>
        </w:tc>
        <w:tc>
          <w:tcPr>
            <w:tcW w:w="28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D53206" w14:textId="77777777" w:rsidR="00E20142" w:rsidRDefault="00E20142">
            <w:pPr>
              <w:spacing w:line="252" w:lineRule="auto"/>
            </w:pPr>
          </w:p>
        </w:tc>
        <w:tc>
          <w:tcPr>
            <w:tcW w:w="28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ECE633" w14:textId="77777777" w:rsidR="00E20142" w:rsidRDefault="00E20142">
            <w:pPr>
              <w:spacing w:line="252" w:lineRule="auto"/>
            </w:pPr>
          </w:p>
        </w:tc>
        <w:tc>
          <w:tcPr>
            <w:tcW w:w="28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47FA16" w14:textId="77777777" w:rsidR="00E20142" w:rsidRDefault="00E20142">
            <w:pPr>
              <w:spacing w:line="252" w:lineRule="auto"/>
            </w:pPr>
          </w:p>
        </w:tc>
      </w:tr>
      <w:tr w:rsidR="00E20142" w14:paraId="1DF777BD" w14:textId="77777777">
        <w:trPr>
          <w:jc w:val="center"/>
        </w:trPr>
        <w:tc>
          <w:tcPr>
            <w:tcW w:w="2736" w:type="dxa"/>
            <w:shd w:val="clear" w:color="auto" w:fill="E9EE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8CBB5B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Decision owner</w:t>
            </w:r>
          </w:p>
        </w:tc>
        <w:tc>
          <w:tcPr>
            <w:tcW w:w="2808" w:type="dxa"/>
            <w:shd w:val="clear" w:color="auto" w:fill="E9EE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FC77F6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Clinical / operations input</w:t>
            </w:r>
          </w:p>
        </w:tc>
        <w:tc>
          <w:tcPr>
            <w:tcW w:w="2808" w:type="dxa"/>
            <w:shd w:val="clear" w:color="auto" w:fill="E9EE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92F369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Facilities input</w:t>
            </w:r>
          </w:p>
        </w:tc>
        <w:tc>
          <w:tcPr>
            <w:tcW w:w="2808" w:type="dxa"/>
            <w:shd w:val="clear" w:color="auto" w:fill="E9EE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90AADB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Estimator / contractor input</w:t>
            </w:r>
          </w:p>
        </w:tc>
      </w:tr>
    </w:tbl>
    <w:p w14:paraId="39B961E1" w14:textId="77777777" w:rsidR="00E20142" w:rsidRDefault="002153E8">
      <w:pPr>
        <w:spacing w:before="200" w:after="80"/>
      </w:pPr>
      <w:r>
        <w:rPr>
          <w:rFonts w:ascii="Aptos Display" w:hAnsi="Aptos Display"/>
          <w:b/>
          <w:color w:val="0A64BC"/>
          <w:sz w:val="28"/>
        </w:rPr>
        <w:t>2. Hidden Budget Risks to Map</w:t>
      </w:r>
    </w:p>
    <w:p w14:paraId="17ECD4E0" w14:textId="77777777" w:rsidR="00E20142" w:rsidRDefault="002153E8">
      <w:pPr>
        <w:spacing w:after="120" w:line="252" w:lineRule="auto"/>
      </w:pPr>
      <w:r>
        <w:t>For each category, identify whether the risk is already priced, merely assumed, or still unknown. Unknown does not mean bad. Unknown but untracked is the problem.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89"/>
        <w:gridCol w:w="4264"/>
        <w:gridCol w:w="1922"/>
        <w:gridCol w:w="1712"/>
        <w:gridCol w:w="1209"/>
      </w:tblGrid>
      <w:tr w:rsidR="00E20142" w14:paraId="12CAD1E1" w14:textId="77777777" w:rsidTr="001235E3">
        <w:trPr>
          <w:jc w:val="center"/>
        </w:trPr>
        <w:tc>
          <w:tcPr>
            <w:tcW w:w="1789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AF4A92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Risk category</w:t>
            </w:r>
          </w:p>
        </w:tc>
        <w:tc>
          <w:tcPr>
            <w:tcW w:w="4264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CCC1E5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What could reset the budget?</w:t>
            </w:r>
          </w:p>
        </w:tc>
        <w:tc>
          <w:tcPr>
            <w:tcW w:w="1922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37359A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Current status</w:t>
            </w:r>
          </w:p>
        </w:tc>
        <w:tc>
          <w:tcPr>
            <w:tcW w:w="1712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100C65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Who confirms?</w:t>
            </w:r>
          </w:p>
        </w:tc>
        <w:tc>
          <w:tcPr>
            <w:tcW w:w="1209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B8420E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Due date</w:t>
            </w:r>
          </w:p>
        </w:tc>
      </w:tr>
      <w:tr w:rsidR="00E20142" w14:paraId="4508835F" w14:textId="77777777" w:rsidTr="001235E3">
        <w:trPr>
          <w:jc w:val="center"/>
        </w:trPr>
        <w:tc>
          <w:tcPr>
            <w:tcW w:w="178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E26076" w14:textId="78C159F9" w:rsidR="00E20142" w:rsidRDefault="001235E3">
            <w:pPr>
              <w:spacing w:line="252" w:lineRule="auto"/>
            </w:pPr>
            <w:r>
              <w:rPr>
                <w:sz w:val="18"/>
              </w:rPr>
              <w:t>Known Scope</w:t>
            </w:r>
          </w:p>
        </w:tc>
        <w:tc>
          <w:tcPr>
            <w:tcW w:w="426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9B396D" w14:textId="3B0D5BD0" w:rsidR="00E20142" w:rsidRDefault="001235E3">
            <w:pPr>
              <w:spacing w:line="252" w:lineRule="auto"/>
            </w:pPr>
            <w:r w:rsidRPr="001235E3">
              <w:rPr>
                <w:sz w:val="18"/>
              </w:rPr>
              <w:t>walls, rooms, finishes, systems, site work, and construction scope</w:t>
            </w:r>
          </w:p>
        </w:tc>
        <w:tc>
          <w:tcPr>
            <w:tcW w:w="19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F6EB07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 xml:space="preserve">□ </w:t>
            </w:r>
            <w:proofErr w:type="gramStart"/>
            <w:r>
              <w:rPr>
                <w:sz w:val="18"/>
              </w:rPr>
              <w:t>Priced  □</w:t>
            </w:r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Assumed  □</w:t>
            </w:r>
            <w:proofErr w:type="gramEnd"/>
            <w:r>
              <w:rPr>
                <w:sz w:val="18"/>
              </w:rPr>
              <w:t xml:space="preserve"> Unknown</w:t>
            </w:r>
          </w:p>
        </w:tc>
        <w:tc>
          <w:tcPr>
            <w:tcW w:w="17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A362FB" w14:textId="77777777" w:rsidR="00E20142" w:rsidRDefault="00E20142">
            <w:pPr>
              <w:spacing w:line="252" w:lineRule="auto"/>
            </w:pPr>
          </w:p>
        </w:tc>
        <w:tc>
          <w:tcPr>
            <w:tcW w:w="12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18FF56" w14:textId="77777777" w:rsidR="00E20142" w:rsidRDefault="00E20142">
            <w:pPr>
              <w:spacing w:line="252" w:lineRule="auto"/>
            </w:pPr>
          </w:p>
        </w:tc>
      </w:tr>
      <w:tr w:rsidR="001235E3" w14:paraId="51D1C2C9" w14:textId="77777777" w:rsidTr="001235E3">
        <w:trPr>
          <w:jc w:val="center"/>
        </w:trPr>
        <w:tc>
          <w:tcPr>
            <w:tcW w:w="178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A4BA63" w14:textId="7305B663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Operational continuity</w:t>
            </w:r>
          </w:p>
        </w:tc>
        <w:tc>
          <w:tcPr>
            <w:tcW w:w="426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8F50DE" w14:textId="650A9BBF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Beds offline, swing space, staff routes, med/meals/laundry disruption, resident/family communication</w:t>
            </w:r>
          </w:p>
        </w:tc>
        <w:tc>
          <w:tcPr>
            <w:tcW w:w="19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1E1383" w14:textId="77777777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□ Priced  □ Assumed  □ Unknown</w:t>
            </w:r>
          </w:p>
        </w:tc>
        <w:tc>
          <w:tcPr>
            <w:tcW w:w="17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DF71A4" w14:textId="77777777" w:rsidR="001235E3" w:rsidRDefault="001235E3" w:rsidP="001235E3">
            <w:pPr>
              <w:spacing w:line="252" w:lineRule="auto"/>
            </w:pPr>
          </w:p>
        </w:tc>
        <w:tc>
          <w:tcPr>
            <w:tcW w:w="12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176D88" w14:textId="77777777" w:rsidR="001235E3" w:rsidRDefault="001235E3" w:rsidP="001235E3">
            <w:pPr>
              <w:spacing w:line="252" w:lineRule="auto"/>
            </w:pPr>
          </w:p>
        </w:tc>
      </w:tr>
      <w:tr w:rsidR="001235E3" w14:paraId="189C0E6A" w14:textId="77777777" w:rsidTr="001235E3">
        <w:trPr>
          <w:jc w:val="center"/>
        </w:trPr>
        <w:tc>
          <w:tcPr>
            <w:tcW w:w="178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2A84B0" w14:textId="7CE88464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Compliance / survey / life safety</w:t>
            </w:r>
          </w:p>
        </w:tc>
        <w:tc>
          <w:tcPr>
            <w:tcW w:w="426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3154D1" w14:textId="7F2BDA6C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AHJ assumptions, egress, compartment/smoke strategy, survey-readiness expectations, door/hardware impacts</w:t>
            </w:r>
          </w:p>
        </w:tc>
        <w:tc>
          <w:tcPr>
            <w:tcW w:w="19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8F9996" w14:textId="77777777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□ Priced  □ Assumed  □ Unknown</w:t>
            </w:r>
          </w:p>
        </w:tc>
        <w:tc>
          <w:tcPr>
            <w:tcW w:w="17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03EA27" w14:textId="77777777" w:rsidR="001235E3" w:rsidRDefault="001235E3" w:rsidP="001235E3">
            <w:pPr>
              <w:spacing w:line="252" w:lineRule="auto"/>
            </w:pPr>
          </w:p>
        </w:tc>
        <w:tc>
          <w:tcPr>
            <w:tcW w:w="12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3AD222" w14:textId="77777777" w:rsidR="001235E3" w:rsidRDefault="001235E3" w:rsidP="001235E3">
            <w:pPr>
              <w:spacing w:line="252" w:lineRule="auto"/>
            </w:pPr>
          </w:p>
        </w:tc>
      </w:tr>
      <w:tr w:rsidR="001235E3" w14:paraId="12EB1ABC" w14:textId="77777777" w:rsidTr="001235E3">
        <w:trPr>
          <w:jc w:val="center"/>
        </w:trPr>
        <w:tc>
          <w:tcPr>
            <w:tcW w:w="178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E1A47E" w14:textId="77777777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Infrastructure / MEP</w:t>
            </w:r>
          </w:p>
        </w:tc>
        <w:tc>
          <w:tcPr>
            <w:tcW w:w="426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704127" w14:textId="77777777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Electrical capacity, HVAC comfort, hot water, generator/emergency power, low voltage/nurse call, controls</w:t>
            </w:r>
          </w:p>
        </w:tc>
        <w:tc>
          <w:tcPr>
            <w:tcW w:w="19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8044AA" w14:textId="77777777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□ Priced  □ Assumed  □ Unknown</w:t>
            </w:r>
          </w:p>
        </w:tc>
        <w:tc>
          <w:tcPr>
            <w:tcW w:w="17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D7233E" w14:textId="77777777" w:rsidR="001235E3" w:rsidRDefault="001235E3" w:rsidP="001235E3">
            <w:pPr>
              <w:spacing w:line="252" w:lineRule="auto"/>
            </w:pPr>
          </w:p>
        </w:tc>
        <w:tc>
          <w:tcPr>
            <w:tcW w:w="12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6FFA88" w14:textId="77777777" w:rsidR="001235E3" w:rsidRDefault="001235E3" w:rsidP="001235E3">
            <w:pPr>
              <w:spacing w:line="252" w:lineRule="auto"/>
            </w:pPr>
          </w:p>
        </w:tc>
      </w:tr>
      <w:tr w:rsidR="001235E3" w14:paraId="6842E21B" w14:textId="77777777" w:rsidTr="001235E3">
        <w:trPr>
          <w:jc w:val="center"/>
        </w:trPr>
        <w:tc>
          <w:tcPr>
            <w:tcW w:w="178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6D645A" w14:textId="77777777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Phasing / temporary services</w:t>
            </w:r>
          </w:p>
        </w:tc>
        <w:tc>
          <w:tcPr>
            <w:tcW w:w="426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AFCA87" w14:textId="77777777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Temporary routes, temporary utilities, shutdowns, after-hours work, tie-ins, commissioning, inspections</w:t>
            </w:r>
          </w:p>
        </w:tc>
        <w:tc>
          <w:tcPr>
            <w:tcW w:w="19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F98437" w14:textId="77777777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□ Priced  □ Assumed  □ Unknown</w:t>
            </w:r>
          </w:p>
        </w:tc>
        <w:tc>
          <w:tcPr>
            <w:tcW w:w="17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5236C2" w14:textId="77777777" w:rsidR="001235E3" w:rsidRDefault="001235E3" w:rsidP="001235E3">
            <w:pPr>
              <w:spacing w:line="252" w:lineRule="auto"/>
            </w:pPr>
          </w:p>
        </w:tc>
        <w:tc>
          <w:tcPr>
            <w:tcW w:w="12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0B5EDB" w14:textId="77777777" w:rsidR="001235E3" w:rsidRDefault="001235E3" w:rsidP="001235E3">
            <w:pPr>
              <w:spacing w:line="252" w:lineRule="auto"/>
            </w:pPr>
          </w:p>
        </w:tc>
      </w:tr>
      <w:tr w:rsidR="001235E3" w14:paraId="3A3FEBB0" w14:textId="77777777" w:rsidTr="001235E3">
        <w:trPr>
          <w:jc w:val="center"/>
        </w:trPr>
        <w:tc>
          <w:tcPr>
            <w:tcW w:w="178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E91945" w14:textId="77777777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Decision latency / scope drift</w:t>
            </w:r>
          </w:p>
        </w:tc>
        <w:tc>
          <w:tcPr>
            <w:tcW w:w="426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7B68BF" w14:textId="77777777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Late clinical decisions, delayed owner inputs, value-engineering loops, unclear alternates, added stakeholders</w:t>
            </w:r>
          </w:p>
        </w:tc>
        <w:tc>
          <w:tcPr>
            <w:tcW w:w="19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6E4AD2" w14:textId="77777777" w:rsidR="001235E3" w:rsidRDefault="001235E3" w:rsidP="001235E3">
            <w:pPr>
              <w:spacing w:line="252" w:lineRule="auto"/>
            </w:pPr>
            <w:r>
              <w:rPr>
                <w:sz w:val="18"/>
              </w:rPr>
              <w:t>□ Priced  □ Assumed  □ Unknown</w:t>
            </w:r>
          </w:p>
        </w:tc>
        <w:tc>
          <w:tcPr>
            <w:tcW w:w="17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390F30" w14:textId="77777777" w:rsidR="001235E3" w:rsidRDefault="001235E3" w:rsidP="001235E3">
            <w:pPr>
              <w:spacing w:line="252" w:lineRule="auto"/>
            </w:pPr>
          </w:p>
        </w:tc>
        <w:tc>
          <w:tcPr>
            <w:tcW w:w="12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08876B" w14:textId="77777777" w:rsidR="001235E3" w:rsidRDefault="001235E3" w:rsidP="001235E3">
            <w:pPr>
              <w:spacing w:line="252" w:lineRule="auto"/>
            </w:pPr>
          </w:p>
        </w:tc>
      </w:tr>
    </w:tbl>
    <w:p w14:paraId="41419448" w14:textId="77777777" w:rsidR="00E20142" w:rsidRDefault="002153E8">
      <w:r>
        <w:br w:type="page"/>
      </w:r>
    </w:p>
    <w:p w14:paraId="0BE263BA" w14:textId="77777777" w:rsidR="00E20142" w:rsidRDefault="002153E8">
      <w:pPr>
        <w:spacing w:before="200" w:after="80"/>
      </w:pPr>
      <w:r>
        <w:rPr>
          <w:rFonts w:ascii="Aptos Display" w:hAnsi="Aptos Display"/>
          <w:b/>
          <w:color w:val="0A64BC"/>
          <w:sz w:val="28"/>
        </w:rPr>
        <w:lastRenderedPageBreak/>
        <w:t>3. Budget Risk Register</w:t>
      </w:r>
    </w:p>
    <w:p w14:paraId="07189AAF" w14:textId="77777777" w:rsidR="00E20142" w:rsidRDefault="002153E8">
      <w:pPr>
        <w:spacing w:after="120" w:line="252" w:lineRule="auto"/>
      </w:pPr>
      <w:r>
        <w:t>Use this register for the specific risks most likely to move the number. Keep the language practical: what happens, where it happens, what it costs if ignored, and what decision is needed next.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1894"/>
        <w:gridCol w:w="1345"/>
        <w:gridCol w:w="1260"/>
        <w:gridCol w:w="2609"/>
        <w:gridCol w:w="1217"/>
        <w:gridCol w:w="951"/>
      </w:tblGrid>
      <w:tr w:rsidR="00E20142" w14:paraId="2BAEFD17" w14:textId="77777777">
        <w:trPr>
          <w:jc w:val="center"/>
        </w:trPr>
        <w:tc>
          <w:tcPr>
            <w:tcW w:w="1800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F2E352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Risk</w:t>
            </w:r>
          </w:p>
        </w:tc>
        <w:tc>
          <w:tcPr>
            <w:tcW w:w="2088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07A005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Where it shows up</w:t>
            </w:r>
          </w:p>
        </w:tc>
        <w:tc>
          <w:tcPr>
            <w:tcW w:w="1440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92DAD9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Budget impact</w:t>
            </w:r>
          </w:p>
        </w:tc>
        <w:tc>
          <w:tcPr>
            <w:tcW w:w="1296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E29A69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Likelihood</w:t>
            </w:r>
          </w:p>
        </w:tc>
        <w:tc>
          <w:tcPr>
            <w:tcW w:w="2880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4A9759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Mitigation / next test</w:t>
            </w:r>
          </w:p>
        </w:tc>
        <w:tc>
          <w:tcPr>
            <w:tcW w:w="1296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9CE5B5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Owner</w:t>
            </w:r>
          </w:p>
        </w:tc>
        <w:tc>
          <w:tcPr>
            <w:tcW w:w="1008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252953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GO?</w:t>
            </w:r>
          </w:p>
        </w:tc>
      </w:tr>
      <w:tr w:rsidR="00E20142" w14:paraId="35E40FB8" w14:textId="77777777">
        <w:trPr>
          <w:jc w:val="center"/>
        </w:trPr>
        <w:tc>
          <w:tcPr>
            <w:tcW w:w="18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302E13" w14:textId="77777777" w:rsidR="00E20142" w:rsidRDefault="00E20142">
            <w:pPr>
              <w:spacing w:line="252" w:lineRule="auto"/>
            </w:pPr>
          </w:p>
        </w:tc>
        <w:tc>
          <w:tcPr>
            <w:tcW w:w="20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647D20" w14:textId="77777777" w:rsidR="00E20142" w:rsidRDefault="00E20142">
            <w:pPr>
              <w:spacing w:line="252" w:lineRule="auto"/>
            </w:pP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20EF99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 □ Med  □ High</w:t>
            </w: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94722F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□ Med □ High</w:t>
            </w:r>
          </w:p>
        </w:tc>
        <w:tc>
          <w:tcPr>
            <w:tcW w:w="28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ED585A" w14:textId="77777777" w:rsidR="00E20142" w:rsidRDefault="00E20142">
            <w:pPr>
              <w:spacing w:line="252" w:lineRule="auto"/>
            </w:pP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636862" w14:textId="77777777" w:rsidR="00E20142" w:rsidRDefault="00E20142">
            <w:pPr>
              <w:spacing w:line="252" w:lineRule="auto"/>
            </w:pPr>
          </w:p>
        </w:tc>
        <w:tc>
          <w:tcPr>
            <w:tcW w:w="10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A862D2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GO</w:t>
            </w:r>
            <w:r>
              <w:rPr>
                <w:sz w:val="18"/>
              </w:rPr>
              <w:br/>
              <w:t>□ Hold</w:t>
            </w:r>
          </w:p>
        </w:tc>
      </w:tr>
      <w:tr w:rsidR="00E20142" w14:paraId="0294D8FF" w14:textId="77777777">
        <w:trPr>
          <w:jc w:val="center"/>
        </w:trPr>
        <w:tc>
          <w:tcPr>
            <w:tcW w:w="18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3BE262" w14:textId="77777777" w:rsidR="00E20142" w:rsidRDefault="00E20142">
            <w:pPr>
              <w:spacing w:line="252" w:lineRule="auto"/>
            </w:pPr>
          </w:p>
        </w:tc>
        <w:tc>
          <w:tcPr>
            <w:tcW w:w="20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688997" w14:textId="77777777" w:rsidR="00E20142" w:rsidRDefault="00E20142">
            <w:pPr>
              <w:spacing w:line="252" w:lineRule="auto"/>
            </w:pP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734458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 □ Med  □ High</w:t>
            </w: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119951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□ Med □ High</w:t>
            </w:r>
          </w:p>
        </w:tc>
        <w:tc>
          <w:tcPr>
            <w:tcW w:w="28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339EDA" w14:textId="77777777" w:rsidR="00E20142" w:rsidRDefault="00E20142">
            <w:pPr>
              <w:spacing w:line="252" w:lineRule="auto"/>
            </w:pP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61F6A7" w14:textId="77777777" w:rsidR="00E20142" w:rsidRDefault="00E20142">
            <w:pPr>
              <w:spacing w:line="252" w:lineRule="auto"/>
            </w:pPr>
          </w:p>
        </w:tc>
        <w:tc>
          <w:tcPr>
            <w:tcW w:w="10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4015E6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GO</w:t>
            </w:r>
            <w:r>
              <w:rPr>
                <w:sz w:val="18"/>
              </w:rPr>
              <w:br/>
              <w:t>□ Hold</w:t>
            </w:r>
          </w:p>
        </w:tc>
      </w:tr>
      <w:tr w:rsidR="00E20142" w14:paraId="49F75CC2" w14:textId="77777777">
        <w:trPr>
          <w:jc w:val="center"/>
        </w:trPr>
        <w:tc>
          <w:tcPr>
            <w:tcW w:w="18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556A35" w14:textId="77777777" w:rsidR="00E20142" w:rsidRDefault="00E20142">
            <w:pPr>
              <w:spacing w:line="252" w:lineRule="auto"/>
            </w:pPr>
          </w:p>
        </w:tc>
        <w:tc>
          <w:tcPr>
            <w:tcW w:w="20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D8363F" w14:textId="77777777" w:rsidR="00E20142" w:rsidRDefault="00E20142">
            <w:pPr>
              <w:spacing w:line="252" w:lineRule="auto"/>
            </w:pP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A5C1D6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 □ Med  □ High</w:t>
            </w: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0A1C5C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□ Med □ High</w:t>
            </w:r>
          </w:p>
        </w:tc>
        <w:tc>
          <w:tcPr>
            <w:tcW w:w="28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EEEBA8" w14:textId="77777777" w:rsidR="00E20142" w:rsidRDefault="00E20142">
            <w:pPr>
              <w:spacing w:line="252" w:lineRule="auto"/>
            </w:pP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D37DFF" w14:textId="77777777" w:rsidR="00E20142" w:rsidRDefault="00E20142">
            <w:pPr>
              <w:spacing w:line="252" w:lineRule="auto"/>
            </w:pPr>
          </w:p>
        </w:tc>
        <w:tc>
          <w:tcPr>
            <w:tcW w:w="10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95840A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GO</w:t>
            </w:r>
            <w:r>
              <w:rPr>
                <w:sz w:val="18"/>
              </w:rPr>
              <w:br/>
              <w:t>□ Hold</w:t>
            </w:r>
          </w:p>
        </w:tc>
      </w:tr>
      <w:tr w:rsidR="00E20142" w14:paraId="67186133" w14:textId="77777777">
        <w:trPr>
          <w:jc w:val="center"/>
        </w:trPr>
        <w:tc>
          <w:tcPr>
            <w:tcW w:w="18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AE5253" w14:textId="77777777" w:rsidR="00E20142" w:rsidRDefault="00E20142">
            <w:pPr>
              <w:spacing w:line="252" w:lineRule="auto"/>
            </w:pPr>
          </w:p>
        </w:tc>
        <w:tc>
          <w:tcPr>
            <w:tcW w:w="20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98F773" w14:textId="77777777" w:rsidR="00E20142" w:rsidRDefault="00E20142">
            <w:pPr>
              <w:spacing w:line="252" w:lineRule="auto"/>
            </w:pP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599A39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 □ Med  □ High</w:t>
            </w: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7E2CF7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□ Med □ High</w:t>
            </w:r>
          </w:p>
        </w:tc>
        <w:tc>
          <w:tcPr>
            <w:tcW w:w="28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8FB24F" w14:textId="77777777" w:rsidR="00E20142" w:rsidRDefault="00E20142">
            <w:pPr>
              <w:spacing w:line="252" w:lineRule="auto"/>
            </w:pP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B84B7A" w14:textId="77777777" w:rsidR="00E20142" w:rsidRDefault="00E20142">
            <w:pPr>
              <w:spacing w:line="252" w:lineRule="auto"/>
            </w:pPr>
          </w:p>
        </w:tc>
        <w:tc>
          <w:tcPr>
            <w:tcW w:w="10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346BCD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GO</w:t>
            </w:r>
            <w:r>
              <w:rPr>
                <w:sz w:val="18"/>
              </w:rPr>
              <w:br/>
              <w:t>□ Hold</w:t>
            </w:r>
          </w:p>
        </w:tc>
      </w:tr>
      <w:tr w:rsidR="00E20142" w14:paraId="02D08935" w14:textId="77777777">
        <w:trPr>
          <w:jc w:val="center"/>
        </w:trPr>
        <w:tc>
          <w:tcPr>
            <w:tcW w:w="18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55D78A" w14:textId="77777777" w:rsidR="00E20142" w:rsidRDefault="00E20142">
            <w:pPr>
              <w:spacing w:line="252" w:lineRule="auto"/>
            </w:pPr>
          </w:p>
        </w:tc>
        <w:tc>
          <w:tcPr>
            <w:tcW w:w="20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3AA631" w14:textId="77777777" w:rsidR="00E20142" w:rsidRDefault="00E20142">
            <w:pPr>
              <w:spacing w:line="252" w:lineRule="auto"/>
            </w:pP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069691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 □ Med  □ High</w:t>
            </w: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CB20AD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□ Med □ High</w:t>
            </w:r>
          </w:p>
        </w:tc>
        <w:tc>
          <w:tcPr>
            <w:tcW w:w="28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B16B2F" w14:textId="77777777" w:rsidR="00E20142" w:rsidRDefault="00E20142">
            <w:pPr>
              <w:spacing w:line="252" w:lineRule="auto"/>
            </w:pP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69B7D9" w14:textId="77777777" w:rsidR="00E20142" w:rsidRDefault="00E20142">
            <w:pPr>
              <w:spacing w:line="252" w:lineRule="auto"/>
            </w:pPr>
          </w:p>
        </w:tc>
        <w:tc>
          <w:tcPr>
            <w:tcW w:w="10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BEEE80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GO</w:t>
            </w:r>
            <w:r>
              <w:rPr>
                <w:sz w:val="18"/>
              </w:rPr>
              <w:br/>
              <w:t>□ Hold</w:t>
            </w:r>
          </w:p>
        </w:tc>
      </w:tr>
      <w:tr w:rsidR="00E20142" w14:paraId="3243061A" w14:textId="77777777">
        <w:trPr>
          <w:jc w:val="center"/>
        </w:trPr>
        <w:tc>
          <w:tcPr>
            <w:tcW w:w="18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2C6E87" w14:textId="77777777" w:rsidR="00E20142" w:rsidRDefault="00E20142">
            <w:pPr>
              <w:spacing w:line="252" w:lineRule="auto"/>
            </w:pPr>
          </w:p>
        </w:tc>
        <w:tc>
          <w:tcPr>
            <w:tcW w:w="20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98F454" w14:textId="77777777" w:rsidR="00E20142" w:rsidRDefault="00E20142">
            <w:pPr>
              <w:spacing w:line="252" w:lineRule="auto"/>
            </w:pP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E22FB4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 □ Med  □ High</w:t>
            </w: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4CE987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□ Med □ High</w:t>
            </w:r>
          </w:p>
        </w:tc>
        <w:tc>
          <w:tcPr>
            <w:tcW w:w="28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A7B16A" w14:textId="77777777" w:rsidR="00E20142" w:rsidRDefault="00E20142">
            <w:pPr>
              <w:spacing w:line="252" w:lineRule="auto"/>
            </w:pP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4E1362" w14:textId="77777777" w:rsidR="00E20142" w:rsidRDefault="00E20142">
            <w:pPr>
              <w:spacing w:line="252" w:lineRule="auto"/>
            </w:pPr>
          </w:p>
        </w:tc>
        <w:tc>
          <w:tcPr>
            <w:tcW w:w="10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4A9BAC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GO</w:t>
            </w:r>
            <w:r>
              <w:rPr>
                <w:sz w:val="18"/>
              </w:rPr>
              <w:br/>
              <w:t>□ Hold</w:t>
            </w:r>
          </w:p>
        </w:tc>
      </w:tr>
      <w:tr w:rsidR="00E20142" w14:paraId="7E4CDF15" w14:textId="77777777">
        <w:trPr>
          <w:jc w:val="center"/>
        </w:trPr>
        <w:tc>
          <w:tcPr>
            <w:tcW w:w="18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4DED95" w14:textId="77777777" w:rsidR="00E20142" w:rsidRDefault="00E20142">
            <w:pPr>
              <w:spacing w:line="252" w:lineRule="auto"/>
            </w:pPr>
          </w:p>
        </w:tc>
        <w:tc>
          <w:tcPr>
            <w:tcW w:w="20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A05AAC" w14:textId="77777777" w:rsidR="00E20142" w:rsidRDefault="00E20142">
            <w:pPr>
              <w:spacing w:line="252" w:lineRule="auto"/>
            </w:pP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C367C1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 □ Med  □ High</w:t>
            </w: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7026D6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□ Med □ High</w:t>
            </w:r>
          </w:p>
        </w:tc>
        <w:tc>
          <w:tcPr>
            <w:tcW w:w="28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8EC3C5" w14:textId="77777777" w:rsidR="00E20142" w:rsidRDefault="00E20142">
            <w:pPr>
              <w:spacing w:line="252" w:lineRule="auto"/>
            </w:pP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F94936" w14:textId="77777777" w:rsidR="00E20142" w:rsidRDefault="00E20142">
            <w:pPr>
              <w:spacing w:line="252" w:lineRule="auto"/>
            </w:pPr>
          </w:p>
        </w:tc>
        <w:tc>
          <w:tcPr>
            <w:tcW w:w="10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7A84FE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GO</w:t>
            </w:r>
            <w:r>
              <w:rPr>
                <w:sz w:val="18"/>
              </w:rPr>
              <w:br/>
              <w:t>□ Hold</w:t>
            </w:r>
          </w:p>
        </w:tc>
      </w:tr>
      <w:tr w:rsidR="00E20142" w14:paraId="1C3F1249" w14:textId="77777777">
        <w:trPr>
          <w:jc w:val="center"/>
        </w:trPr>
        <w:tc>
          <w:tcPr>
            <w:tcW w:w="18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172E86" w14:textId="77777777" w:rsidR="00E20142" w:rsidRDefault="00E20142">
            <w:pPr>
              <w:spacing w:line="252" w:lineRule="auto"/>
            </w:pPr>
          </w:p>
        </w:tc>
        <w:tc>
          <w:tcPr>
            <w:tcW w:w="20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60BB4D" w14:textId="77777777" w:rsidR="00E20142" w:rsidRDefault="00E20142">
            <w:pPr>
              <w:spacing w:line="252" w:lineRule="auto"/>
            </w:pP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FE2CAC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 □ Med  □ High</w:t>
            </w: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04A90F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Low □ Med □ High</w:t>
            </w:r>
          </w:p>
        </w:tc>
        <w:tc>
          <w:tcPr>
            <w:tcW w:w="28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D697EA" w14:textId="77777777" w:rsidR="00E20142" w:rsidRDefault="00E20142">
            <w:pPr>
              <w:spacing w:line="252" w:lineRule="auto"/>
            </w:pPr>
          </w:p>
        </w:tc>
        <w:tc>
          <w:tcPr>
            <w:tcW w:w="12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8EC267" w14:textId="77777777" w:rsidR="00E20142" w:rsidRDefault="00E20142">
            <w:pPr>
              <w:spacing w:line="252" w:lineRule="auto"/>
            </w:pPr>
          </w:p>
        </w:tc>
        <w:tc>
          <w:tcPr>
            <w:tcW w:w="10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C4AD74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□ GO</w:t>
            </w:r>
            <w:r>
              <w:rPr>
                <w:sz w:val="18"/>
              </w:rPr>
              <w:br/>
              <w:t>□ Hold</w:t>
            </w:r>
          </w:p>
        </w:tc>
      </w:tr>
    </w:tbl>
    <w:p w14:paraId="3AAD3783" w14:textId="77777777" w:rsidR="00E20142" w:rsidRDefault="002153E8">
      <w:pPr>
        <w:spacing w:before="200" w:after="80"/>
      </w:pPr>
      <w:r>
        <w:rPr>
          <w:rFonts w:ascii="Aptos Display" w:hAnsi="Aptos Display"/>
          <w:b/>
          <w:color w:val="0A64BC"/>
          <w:sz w:val="28"/>
        </w:rPr>
        <w:t>4. Contingency Logic: Generic vs. Risk-Based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19"/>
        <w:gridCol w:w="4168"/>
        <w:gridCol w:w="2997"/>
        <w:gridCol w:w="1412"/>
      </w:tblGrid>
      <w:tr w:rsidR="00E20142" w14:paraId="4A83FF32" w14:textId="77777777">
        <w:trPr>
          <w:jc w:val="center"/>
        </w:trPr>
        <w:tc>
          <w:tcPr>
            <w:tcW w:w="2376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3770E3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Contingency bucket</w:t>
            </w:r>
          </w:p>
        </w:tc>
        <w:tc>
          <w:tcPr>
            <w:tcW w:w="4320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F27534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What it covers</w:t>
            </w:r>
          </w:p>
        </w:tc>
        <w:tc>
          <w:tcPr>
            <w:tcW w:w="3096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872355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Trigger for use</w:t>
            </w:r>
          </w:p>
        </w:tc>
        <w:tc>
          <w:tcPr>
            <w:tcW w:w="1440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634CBF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Decision owner</w:t>
            </w:r>
          </w:p>
        </w:tc>
      </w:tr>
      <w:tr w:rsidR="00E20142" w14:paraId="5B355D34" w14:textId="77777777">
        <w:trPr>
          <w:jc w:val="center"/>
        </w:trPr>
        <w:tc>
          <w:tcPr>
            <w:tcW w:w="237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E209C4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Design / scope uncertainty</w:t>
            </w:r>
          </w:p>
        </w:tc>
        <w:tc>
          <w:tcPr>
            <w:tcW w:w="43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9D6D8F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Unresolved decisions that could change layout, systems, or phasing</w:t>
            </w:r>
          </w:p>
        </w:tc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80DA1E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Decision resolved differently than assumed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3CA291" w14:textId="77777777" w:rsidR="00E20142" w:rsidRDefault="00E20142">
            <w:pPr>
              <w:spacing w:line="252" w:lineRule="auto"/>
            </w:pPr>
          </w:p>
        </w:tc>
      </w:tr>
      <w:tr w:rsidR="00E20142" w14:paraId="5870B5B1" w14:textId="77777777">
        <w:trPr>
          <w:jc w:val="center"/>
        </w:trPr>
        <w:tc>
          <w:tcPr>
            <w:tcW w:w="237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458D80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Existing conditions / infrastructure</w:t>
            </w:r>
          </w:p>
        </w:tc>
        <w:tc>
          <w:tcPr>
            <w:tcW w:w="43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5239C5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Unknown capacity, hidden conditions, aging systems, tie-ins</w:t>
            </w:r>
          </w:p>
        </w:tc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7F2557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Field verification or investigation changes assumptions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C84E4E" w14:textId="77777777" w:rsidR="00E20142" w:rsidRDefault="00E20142">
            <w:pPr>
              <w:spacing w:line="252" w:lineRule="auto"/>
            </w:pPr>
          </w:p>
        </w:tc>
      </w:tr>
      <w:tr w:rsidR="00E20142" w14:paraId="702139F5" w14:textId="77777777">
        <w:trPr>
          <w:jc w:val="center"/>
        </w:trPr>
        <w:tc>
          <w:tcPr>
            <w:tcW w:w="237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F71958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Operational continuity / phasing</w:t>
            </w:r>
          </w:p>
        </w:tc>
        <w:tc>
          <w:tcPr>
            <w:tcW w:w="43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944134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Swing space, temporary services, off-hours work, staff/resident disruption controls</w:t>
            </w:r>
          </w:p>
        </w:tc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9621A9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Phase plan requires added protection or sequencing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962BF5" w14:textId="77777777" w:rsidR="00E20142" w:rsidRDefault="00E20142">
            <w:pPr>
              <w:spacing w:line="252" w:lineRule="auto"/>
            </w:pPr>
          </w:p>
        </w:tc>
      </w:tr>
      <w:tr w:rsidR="00E20142" w14:paraId="1941788C" w14:textId="77777777">
        <w:trPr>
          <w:jc w:val="center"/>
        </w:trPr>
        <w:tc>
          <w:tcPr>
            <w:tcW w:w="237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B951AE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Compliance / AHJ / survey risk</w:t>
            </w:r>
          </w:p>
        </w:tc>
        <w:tc>
          <w:tcPr>
            <w:tcW w:w="432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7F6CC8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Life safety, infection prevention, licensing/survey expectations, review comments</w:t>
            </w:r>
          </w:p>
        </w:tc>
        <w:tc>
          <w:tcPr>
            <w:tcW w:w="30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7D1610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Authority or leadership confirmation changes path</w:t>
            </w:r>
          </w:p>
        </w:tc>
        <w:tc>
          <w:tcPr>
            <w:tcW w:w="14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C442C0" w14:textId="77777777" w:rsidR="00E20142" w:rsidRDefault="00E20142">
            <w:pPr>
              <w:spacing w:line="252" w:lineRule="auto"/>
            </w:pPr>
          </w:p>
        </w:tc>
      </w:tr>
    </w:tbl>
    <w:p w14:paraId="7FBA608E" w14:textId="77777777" w:rsidR="00E20142" w:rsidRDefault="002153E8">
      <w:pPr>
        <w:spacing w:before="200" w:after="80"/>
      </w:pPr>
      <w:r>
        <w:rPr>
          <w:rFonts w:ascii="Aptos Display" w:hAnsi="Aptos Display"/>
          <w:b/>
          <w:color w:val="0A64BC"/>
          <w:sz w:val="28"/>
        </w:rPr>
        <w:t>5. Budget Lock GO / NO-GO Gate</w:t>
      </w:r>
    </w:p>
    <w:p w14:paraId="2C1735A7" w14:textId="77777777" w:rsidR="00E20142" w:rsidRDefault="002153E8">
      <w:pPr>
        <w:spacing w:after="120" w:line="252" w:lineRule="auto"/>
      </w:pPr>
      <w:r>
        <w:t>Use this gate before presenting a budget as reliable enough for financing, owner approval, major scope lock, or contractor pricing alignment.</w:t>
      </w:r>
    </w:p>
    <w:p w14:paraId="11720A22" w14:textId="77777777" w:rsidR="00E20142" w:rsidRDefault="002153E8">
      <w:pPr>
        <w:spacing w:after="60"/>
        <w:ind w:left="216"/>
      </w:pPr>
      <w:r>
        <w:rPr>
          <w:sz w:val="18"/>
        </w:rPr>
        <w:t>☐</w:t>
      </w:r>
      <w:r>
        <w:rPr>
          <w:sz w:val="18"/>
        </w:rPr>
        <w:t xml:space="preserve"> Operational continuity risks are named and either priced, mitigated, or intentionally accepted.</w:t>
      </w:r>
    </w:p>
    <w:p w14:paraId="5EFB723F" w14:textId="77777777" w:rsidR="00E20142" w:rsidRDefault="002153E8">
      <w:pPr>
        <w:spacing w:after="60"/>
        <w:ind w:left="216"/>
      </w:pPr>
      <w:r>
        <w:rPr>
          <w:sz w:val="18"/>
        </w:rPr>
        <w:t>☐</w:t>
      </w:r>
      <w:r>
        <w:rPr>
          <w:sz w:val="18"/>
        </w:rPr>
        <w:t xml:space="preserve"> Compliance, life safety, and survey-readiness assumptions have an assigned confirmation path.</w:t>
      </w:r>
    </w:p>
    <w:p w14:paraId="6F5AC80E" w14:textId="77777777" w:rsidR="00E20142" w:rsidRDefault="002153E8">
      <w:pPr>
        <w:spacing w:after="60"/>
        <w:ind w:left="216"/>
      </w:pPr>
      <w:r>
        <w:rPr>
          <w:sz w:val="18"/>
        </w:rPr>
        <w:t>☐</w:t>
      </w:r>
      <w:r>
        <w:rPr>
          <w:sz w:val="18"/>
        </w:rPr>
        <w:t xml:space="preserve"> Infection prevention and occupied-renovation controls are identified where applicable.</w:t>
      </w:r>
    </w:p>
    <w:p w14:paraId="08B9B3E1" w14:textId="77777777" w:rsidR="00E20142" w:rsidRDefault="002153E8">
      <w:pPr>
        <w:spacing w:after="60"/>
        <w:ind w:left="216"/>
      </w:pPr>
      <w:r>
        <w:rPr>
          <w:sz w:val="18"/>
        </w:rPr>
        <w:t>☐</w:t>
      </w:r>
      <w:r>
        <w:rPr>
          <w:sz w:val="18"/>
        </w:rPr>
        <w:t xml:space="preserve"> MEP and infrastructure risks have been reviewed with facilities and engineering input.</w:t>
      </w:r>
    </w:p>
    <w:p w14:paraId="57367CB4" w14:textId="77777777" w:rsidR="00E20142" w:rsidRDefault="002153E8">
      <w:pPr>
        <w:spacing w:after="60"/>
        <w:ind w:left="216"/>
      </w:pPr>
      <w:r>
        <w:rPr>
          <w:sz w:val="18"/>
        </w:rPr>
        <w:lastRenderedPageBreak/>
        <w:t>☐</w:t>
      </w:r>
      <w:r>
        <w:rPr>
          <w:sz w:val="18"/>
        </w:rPr>
        <w:t xml:space="preserve"> Phasing, temporary services, shutdowns, and swing-space assumptions are visible in the budget.</w:t>
      </w:r>
    </w:p>
    <w:p w14:paraId="605AE78C" w14:textId="77777777" w:rsidR="00E20142" w:rsidRDefault="002153E8">
      <w:pPr>
        <w:spacing w:after="60"/>
        <w:ind w:left="216"/>
      </w:pPr>
      <w:r>
        <w:rPr>
          <w:sz w:val="18"/>
        </w:rPr>
        <w:t>☐</w:t>
      </w:r>
      <w:r>
        <w:rPr>
          <w:sz w:val="18"/>
        </w:rPr>
        <w:t xml:space="preserve"> Contingency is tied to named risks, not only a generic percentage.</w:t>
      </w:r>
    </w:p>
    <w:p w14:paraId="1A71BDC1" w14:textId="77777777" w:rsidR="00E20142" w:rsidRDefault="002153E8">
      <w:pPr>
        <w:spacing w:after="60"/>
        <w:ind w:left="216"/>
      </w:pPr>
      <w:r>
        <w:rPr>
          <w:sz w:val="18"/>
        </w:rPr>
        <w:t>☐</w:t>
      </w:r>
      <w:r>
        <w:rPr>
          <w:sz w:val="18"/>
        </w:rPr>
        <w:t xml:space="preserve"> Value-engineering options have been tested against operational consequences.</w:t>
      </w:r>
    </w:p>
    <w:p w14:paraId="18894B10" w14:textId="77777777" w:rsidR="00E20142" w:rsidRDefault="002153E8">
      <w:pPr>
        <w:spacing w:after="60"/>
        <w:ind w:left="216"/>
      </w:pPr>
      <w:r>
        <w:rPr>
          <w:sz w:val="18"/>
        </w:rPr>
        <w:t>☐</w:t>
      </w:r>
      <w:r>
        <w:rPr>
          <w:sz w:val="18"/>
        </w:rPr>
        <w:t xml:space="preserve"> Open risks have owners, due dates, and a decision path.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11"/>
        <w:gridCol w:w="5156"/>
        <w:gridCol w:w="3729"/>
      </w:tblGrid>
      <w:tr w:rsidR="00E20142" w14:paraId="45B91627" w14:textId="77777777">
        <w:trPr>
          <w:jc w:val="center"/>
        </w:trPr>
        <w:tc>
          <w:tcPr>
            <w:tcW w:w="2016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117642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Gate result</w:t>
            </w:r>
          </w:p>
        </w:tc>
        <w:tc>
          <w:tcPr>
            <w:tcW w:w="5184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F2ACD3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Use when</w:t>
            </w:r>
          </w:p>
        </w:tc>
        <w:tc>
          <w:tcPr>
            <w:tcW w:w="3744" w:type="dxa"/>
            <w:shd w:val="clear" w:color="auto" w:fill="0A64B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DCF53D" w14:textId="77777777" w:rsidR="00E20142" w:rsidRDefault="002153E8">
            <w:pPr>
              <w:spacing w:line="252" w:lineRule="auto"/>
            </w:pPr>
            <w:r>
              <w:rPr>
                <w:b/>
                <w:color w:val="FFFFFF"/>
                <w:sz w:val="17"/>
              </w:rPr>
              <w:t>Next action</w:t>
            </w:r>
          </w:p>
        </w:tc>
      </w:tr>
      <w:tr w:rsidR="00E20142" w14:paraId="5B1972B7" w14:textId="77777777">
        <w:trPr>
          <w:jc w:val="center"/>
        </w:trPr>
        <w:tc>
          <w:tcPr>
            <w:tcW w:w="20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93ACB5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GO</w:t>
            </w:r>
          </w:p>
        </w:tc>
        <w:tc>
          <w:tcPr>
            <w:tcW w:w="51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559418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Known risks are priced, mitigated, or intentionally accepted.</w:t>
            </w:r>
          </w:p>
        </w:tc>
        <w:tc>
          <w:tcPr>
            <w:tcW w:w="37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1F0541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Move forward with budget recommendation.</w:t>
            </w:r>
          </w:p>
        </w:tc>
      </w:tr>
      <w:tr w:rsidR="00E20142" w14:paraId="6DB242B1" w14:textId="77777777">
        <w:trPr>
          <w:jc w:val="center"/>
        </w:trPr>
        <w:tc>
          <w:tcPr>
            <w:tcW w:w="20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52CA17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CONDITIONAL GO</w:t>
            </w:r>
          </w:p>
        </w:tc>
        <w:tc>
          <w:tcPr>
            <w:tcW w:w="51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1FDEF9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A few risks remain open but have owners, due dates, and bounded impact.</w:t>
            </w:r>
          </w:p>
        </w:tc>
        <w:tc>
          <w:tcPr>
            <w:tcW w:w="37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B9D1CB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Proceed only with assumptions clearly stated.</w:t>
            </w:r>
          </w:p>
        </w:tc>
      </w:tr>
      <w:tr w:rsidR="00E20142" w14:paraId="0E453F63" w14:textId="77777777">
        <w:trPr>
          <w:jc w:val="center"/>
        </w:trPr>
        <w:tc>
          <w:tcPr>
            <w:tcW w:w="20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B57A5B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NO-GO</w:t>
            </w:r>
          </w:p>
        </w:tc>
        <w:tc>
          <w:tcPr>
            <w:tcW w:w="51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23F137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An open risk could reset scope, phasing, systems, schedule, or operations.</w:t>
            </w:r>
          </w:p>
        </w:tc>
        <w:tc>
          <w:tcPr>
            <w:tcW w:w="37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E9A3FF" w14:textId="77777777" w:rsidR="00E20142" w:rsidRDefault="002153E8">
            <w:pPr>
              <w:spacing w:line="252" w:lineRule="auto"/>
            </w:pPr>
            <w:r>
              <w:rPr>
                <w:sz w:val="18"/>
              </w:rPr>
              <w:t>Do not trust the budget yet. Resolve the risk first.</w:t>
            </w:r>
          </w:p>
        </w:tc>
      </w:tr>
    </w:tbl>
    <w:p w14:paraId="119D72F6" w14:textId="77777777" w:rsidR="00E20142" w:rsidRDefault="002153E8">
      <w:pPr>
        <w:spacing w:before="200" w:after="80"/>
      </w:pPr>
      <w:r>
        <w:rPr>
          <w:rFonts w:ascii="Aptos Display" w:hAnsi="Aptos Display"/>
          <w:b/>
          <w:color w:val="0A64BC"/>
          <w:sz w:val="28"/>
        </w:rPr>
        <w:t>6. Final Budget Risk Statement</w:t>
      </w:r>
    </w:p>
    <w:p w14:paraId="60501178" w14:textId="77777777" w:rsidR="00E20142" w:rsidRDefault="002153E8">
      <w:pPr>
        <w:spacing w:after="120" w:line="252" w:lineRule="auto"/>
      </w:pPr>
      <w:r>
        <w:t>Write the statement leadership should understand before approving the budget.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E20142" w14:paraId="770AE372" w14:textId="77777777">
        <w:trPr>
          <w:jc w:val="center"/>
        </w:trPr>
        <w:tc>
          <w:tcPr>
            <w:tcW w:w="10656" w:type="dxa"/>
            <w:shd w:val="clear" w:color="auto" w:fill="F4F6F8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BB1B15" w14:textId="77777777" w:rsidR="00E20142" w:rsidRDefault="002153E8">
            <w:r>
              <w:rPr>
                <w:b/>
                <w:sz w:val="18"/>
              </w:rPr>
              <w:t>The budget is reliable enough to move forward because...</w:t>
            </w:r>
            <w:r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br/>
            </w:r>
          </w:p>
        </w:tc>
      </w:tr>
      <w:tr w:rsidR="00E20142" w14:paraId="484DF26C" w14:textId="77777777">
        <w:trPr>
          <w:jc w:val="center"/>
        </w:trPr>
        <w:tc>
          <w:tcPr>
            <w:tcW w:w="1065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C47F20" w14:textId="77777777" w:rsidR="00E20142" w:rsidRDefault="002153E8">
            <w:r>
              <w:rPr>
                <w:sz w:val="18"/>
              </w:rPr>
              <w:t>The budget is still exposed because...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E20142" w14:paraId="25BA4FF4" w14:textId="77777777">
        <w:trPr>
          <w:jc w:val="center"/>
        </w:trPr>
        <w:tc>
          <w:tcPr>
            <w:tcW w:w="1065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5A068D" w14:textId="77777777" w:rsidR="00E20142" w:rsidRDefault="002153E8">
            <w:r>
              <w:rPr>
                <w:sz w:val="18"/>
              </w:rPr>
              <w:t>The lowest-cost effective next move is...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7799F983" w14:textId="77777777" w:rsidR="00E20142" w:rsidRDefault="00E20142"/>
    <w:p w14:paraId="6906076E" w14:textId="77777777" w:rsidR="00E20142" w:rsidRDefault="002153E8">
      <w:pPr>
        <w:jc w:val="center"/>
      </w:pPr>
      <w:r>
        <w:rPr>
          <w:color w:val="756F70"/>
          <w:sz w:val="16"/>
        </w:rPr>
        <w:t>Areté Architecture | Predictability-first planning for long-term care projects</w:t>
      </w:r>
    </w:p>
    <w:sectPr w:rsidR="00E20142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8907098">
    <w:abstractNumId w:val="8"/>
  </w:num>
  <w:num w:numId="2" w16cid:durableId="428619215">
    <w:abstractNumId w:val="6"/>
  </w:num>
  <w:num w:numId="3" w16cid:durableId="1765607340">
    <w:abstractNumId w:val="5"/>
  </w:num>
  <w:num w:numId="4" w16cid:durableId="1120760840">
    <w:abstractNumId w:val="4"/>
  </w:num>
  <w:num w:numId="5" w16cid:durableId="1444307929">
    <w:abstractNumId w:val="7"/>
  </w:num>
  <w:num w:numId="6" w16cid:durableId="60294974">
    <w:abstractNumId w:val="3"/>
  </w:num>
  <w:num w:numId="7" w16cid:durableId="730543714">
    <w:abstractNumId w:val="2"/>
  </w:num>
  <w:num w:numId="8" w16cid:durableId="1415933645">
    <w:abstractNumId w:val="1"/>
  </w:num>
  <w:num w:numId="9" w16cid:durableId="798189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5E3"/>
    <w:rsid w:val="00127F33"/>
    <w:rsid w:val="0015074B"/>
    <w:rsid w:val="002153E8"/>
    <w:rsid w:val="0029639D"/>
    <w:rsid w:val="00326F90"/>
    <w:rsid w:val="00AA1D8D"/>
    <w:rsid w:val="00B47730"/>
    <w:rsid w:val="00CB0664"/>
    <w:rsid w:val="00E201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77F91FA9-4962-42F3-83D2-309DCE3E7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91b646-3776-4fce-85f8-fbc4da2bb054">
      <Terms xmlns="http://schemas.microsoft.com/office/infopath/2007/PartnerControls"/>
    </lcf76f155ced4ddcb4097134ff3c332f>
    <TaxCatchAll xmlns="23b110a3-f11a-4f4b-8850-abbb1cf9765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88F6059FF0C468EA9CBB4B267EED8" ma:contentTypeVersion="14" ma:contentTypeDescription="Create a new document." ma:contentTypeScope="" ma:versionID="0330f27917949ef3c75dc8b546faa1a8">
  <xsd:schema xmlns:xsd="http://www.w3.org/2001/XMLSchema" xmlns:xs="http://www.w3.org/2001/XMLSchema" xmlns:p="http://schemas.microsoft.com/office/2006/metadata/properties" xmlns:ns2="8c91b646-3776-4fce-85f8-fbc4da2bb054" xmlns:ns3="23b110a3-f11a-4f4b-8850-abbb1cf9765a" targetNamespace="http://schemas.microsoft.com/office/2006/metadata/properties" ma:root="true" ma:fieldsID="de3f7c4251e30a95c01ba4024274a219" ns2:_="" ns3:_="">
    <xsd:import namespace="8c91b646-3776-4fce-85f8-fbc4da2bb054"/>
    <xsd:import namespace="23b110a3-f11a-4f4b-8850-abbb1cf97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1b646-3776-4fce-85f8-fbc4da2bb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108bad-dcfa-41f7-a724-1c0fce7a3c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110a3-f11a-4f4b-8850-abbb1cf976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4ccfbd-af29-4f15-b8ad-2d7714a901e4}" ma:internalName="TaxCatchAll" ma:showField="CatchAllData" ma:web="23b110a3-f11a-4f4b-8850-abbb1cf97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25C7F2-A509-450E-BD82-134E1CA96867}">
  <ds:schemaRefs>
    <ds:schemaRef ds:uri="http://schemas.microsoft.com/office/2006/metadata/properties"/>
    <ds:schemaRef ds:uri="http://schemas.microsoft.com/office/infopath/2007/PartnerControls"/>
    <ds:schemaRef ds:uri="8c91b646-3776-4fce-85f8-fbc4da2bb054"/>
    <ds:schemaRef ds:uri="23b110a3-f11a-4f4b-8850-abbb1cf9765a"/>
  </ds:schemaRefs>
</ds:datastoreItem>
</file>

<file path=customXml/itemProps3.xml><?xml version="1.0" encoding="utf-8"?>
<ds:datastoreItem xmlns:ds="http://schemas.openxmlformats.org/officeDocument/2006/customXml" ds:itemID="{F5CD1712-FF30-4965-8097-A14FF7FA0A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69C772-D5DC-4F0E-A923-F832162F5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91b646-3776-4fce-85f8-fbc4da2bb054"/>
    <ds:schemaRef ds:uri="23b110a3-f11a-4f4b-8850-abbb1cf97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Michael Garrett</cp:lastModifiedBy>
  <cp:revision>2</cp:revision>
  <dcterms:created xsi:type="dcterms:W3CDTF">2013-12-23T23:15:00Z</dcterms:created>
  <dcterms:modified xsi:type="dcterms:W3CDTF">2026-09-05T17:53:00Z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0x01010096788F6059FF0C468EA9CBB4B267EED8</vt:lpwstr>
  </property>
  <property fmtid="{D5CDD505-2E9C-101B-9397-08002B2CF9AE}" pid="3" name="MediaServiceImageTags">
    <vt:lpwstr/>
  </property>
</Properties>
</file>